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DD24F" w14:textId="77777777" w:rsidR="00C049C2" w:rsidRDefault="00C049C2" w:rsidP="00C049C2">
      <w:pPr>
        <w:pStyle w:val="ListParagraph"/>
        <w:spacing w:after="120" w:line="300" w:lineRule="exact"/>
        <w:ind w:left="720" w:firstLine="0"/>
        <w:jc w:val="both"/>
        <w:rPr>
          <w:rFonts w:ascii="Times New Roman" w:hAnsi="Times New Roman" w:cs="Times New Roman"/>
        </w:rPr>
      </w:pPr>
    </w:p>
    <w:p w14:paraId="1750FF52" w14:textId="2F53E4D3" w:rsidR="007625FD" w:rsidRDefault="007625FD">
      <w:pPr>
        <w:rPr>
          <w:rFonts w:ascii="Times New Roman" w:eastAsia="MS Mincho" w:hAnsi="Times New Roman" w:cs="Times New Roman"/>
          <w:b/>
        </w:rPr>
      </w:pPr>
    </w:p>
    <w:p w14:paraId="1E0CAB08" w14:textId="77777777" w:rsidR="007625FD" w:rsidRDefault="007625FD" w:rsidP="007625FD">
      <w:pPr>
        <w:jc w:val="both"/>
      </w:pPr>
    </w:p>
    <w:p w14:paraId="670A22FA" w14:textId="77777777" w:rsidR="007625FD" w:rsidRDefault="007625FD" w:rsidP="007625FD">
      <w:pPr>
        <w:jc w:val="both"/>
      </w:pPr>
      <w:r>
        <w:rPr>
          <w:b/>
          <w:noProof/>
          <w:sz w:val="28"/>
          <w:szCs w:val="28"/>
          <w:lang w:eastAsia="en-GB"/>
        </w:rPr>
        <w:drawing>
          <wp:anchor distT="0" distB="0" distL="114300" distR="114300" simplePos="0" relativeHeight="251658240" behindDoc="0" locked="0" layoutInCell="1" allowOverlap="1" wp14:anchorId="77BB55B6" wp14:editId="68D42EA9">
            <wp:simplePos x="0" y="0"/>
            <wp:positionH relativeFrom="column">
              <wp:posOffset>3456749</wp:posOffset>
            </wp:positionH>
            <wp:positionV relativeFrom="margin">
              <wp:align>top</wp:align>
            </wp:positionV>
            <wp:extent cx="2438400" cy="134112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A_DSB_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0" cy="1341120"/>
                    </a:xfrm>
                    <a:prstGeom prst="rect">
                      <a:avLst/>
                    </a:prstGeom>
                  </pic:spPr>
                </pic:pic>
              </a:graphicData>
            </a:graphic>
          </wp:anchor>
        </w:drawing>
      </w:r>
    </w:p>
    <w:p w14:paraId="0AECBF31" w14:textId="77777777" w:rsidR="007625FD" w:rsidRDefault="007625FD" w:rsidP="007625FD">
      <w:pPr>
        <w:jc w:val="both"/>
      </w:pPr>
    </w:p>
    <w:p w14:paraId="376F83A2" w14:textId="77777777" w:rsidR="007625FD" w:rsidRPr="000B7CB3" w:rsidRDefault="007625FD" w:rsidP="007625FD">
      <w:pPr>
        <w:jc w:val="center"/>
        <w:rPr>
          <w:b/>
          <w:sz w:val="40"/>
        </w:rPr>
      </w:pPr>
      <w:r w:rsidRPr="000B7CB3">
        <w:rPr>
          <w:b/>
          <w:sz w:val="40"/>
        </w:rPr>
        <w:t>D</w:t>
      </w:r>
      <w:r>
        <w:rPr>
          <w:b/>
          <w:sz w:val="40"/>
        </w:rPr>
        <w:t xml:space="preserve">erivatives </w:t>
      </w:r>
      <w:r w:rsidRPr="000B7CB3">
        <w:rPr>
          <w:b/>
          <w:sz w:val="40"/>
        </w:rPr>
        <w:t>S</w:t>
      </w:r>
      <w:r>
        <w:rPr>
          <w:b/>
          <w:sz w:val="40"/>
        </w:rPr>
        <w:t xml:space="preserve">ervice </w:t>
      </w:r>
      <w:r w:rsidRPr="000B7CB3">
        <w:rPr>
          <w:b/>
          <w:sz w:val="40"/>
        </w:rPr>
        <w:t>B</w:t>
      </w:r>
      <w:r>
        <w:rPr>
          <w:b/>
          <w:sz w:val="40"/>
        </w:rPr>
        <w:t>ureau</w:t>
      </w:r>
    </w:p>
    <w:p w14:paraId="78365653" w14:textId="77777777" w:rsidR="00867CBC" w:rsidRDefault="00867CBC" w:rsidP="00867CBC">
      <w:pPr>
        <w:jc w:val="center"/>
        <w:rPr>
          <w:b/>
          <w:sz w:val="40"/>
        </w:rPr>
      </w:pPr>
      <w:r>
        <w:rPr>
          <w:b/>
          <w:sz w:val="40"/>
        </w:rPr>
        <w:t xml:space="preserve">Unique Product Identifier (UPI) </w:t>
      </w:r>
    </w:p>
    <w:p w14:paraId="0F197076" w14:textId="4C938D7D" w:rsidR="007625FD" w:rsidRPr="00867CBC" w:rsidRDefault="00867CBC" w:rsidP="00867CBC">
      <w:pPr>
        <w:jc w:val="center"/>
        <w:rPr>
          <w:b/>
          <w:sz w:val="40"/>
        </w:rPr>
      </w:pPr>
      <w:r>
        <w:rPr>
          <w:b/>
          <w:sz w:val="40"/>
        </w:rPr>
        <w:t xml:space="preserve">Legal Terms </w:t>
      </w:r>
      <w:r w:rsidR="00E77503">
        <w:rPr>
          <w:b/>
          <w:sz w:val="40"/>
        </w:rPr>
        <w:t>and</w:t>
      </w:r>
      <w:r>
        <w:rPr>
          <w:b/>
          <w:sz w:val="40"/>
        </w:rPr>
        <w:t xml:space="preserve"> Conditions </w:t>
      </w:r>
    </w:p>
    <w:p w14:paraId="5DFC24C6" w14:textId="77777777" w:rsidR="007625FD" w:rsidRPr="002E5CA7" w:rsidRDefault="007625FD" w:rsidP="007625FD">
      <w:pPr>
        <w:jc w:val="center"/>
        <w:rPr>
          <w:b/>
          <w:sz w:val="40"/>
        </w:rPr>
      </w:pPr>
      <w:r>
        <w:rPr>
          <w:b/>
          <w:sz w:val="40"/>
        </w:rPr>
        <w:t>Consultation Paper</w:t>
      </w:r>
    </w:p>
    <w:p w14:paraId="2D1BABD4" w14:textId="77777777" w:rsidR="007625FD" w:rsidRDefault="007625FD" w:rsidP="007625FD">
      <w:pPr>
        <w:jc w:val="center"/>
        <w:rPr>
          <w:sz w:val="28"/>
        </w:rPr>
      </w:pPr>
      <w:r>
        <w:rPr>
          <w:sz w:val="28"/>
        </w:rPr>
        <w:t>2</w:t>
      </w:r>
      <w:r w:rsidRPr="00821DF7">
        <w:rPr>
          <w:sz w:val="28"/>
          <w:vertAlign w:val="superscript"/>
        </w:rPr>
        <w:t>nd</w:t>
      </w:r>
      <w:r>
        <w:rPr>
          <w:sz w:val="28"/>
        </w:rPr>
        <w:t xml:space="preserve"> November 2021</w:t>
      </w:r>
    </w:p>
    <w:p w14:paraId="199BAD13" w14:textId="77777777" w:rsidR="007625FD" w:rsidRDefault="007625FD" w:rsidP="007625FD">
      <w:pPr>
        <w:jc w:val="center"/>
        <w:rPr>
          <w:sz w:val="28"/>
        </w:rPr>
      </w:pPr>
    </w:p>
    <w:p w14:paraId="044B6934" w14:textId="77777777" w:rsidR="007625FD" w:rsidRDefault="007625FD" w:rsidP="007625FD">
      <w:pPr>
        <w:jc w:val="center"/>
      </w:pPr>
      <w:r>
        <w:br w:type="page"/>
      </w:r>
    </w:p>
    <w:p w14:paraId="5C0FA550" w14:textId="77777777" w:rsidR="007625FD" w:rsidRDefault="007625FD" w:rsidP="007625FD">
      <w:pPr>
        <w:jc w:val="both"/>
      </w:pPr>
      <w:r>
        <w:lastRenderedPageBreak/>
        <w:t xml:space="preserve">  </w:t>
      </w:r>
    </w:p>
    <w:p w14:paraId="5F45DB75" w14:textId="77777777" w:rsidR="007625FD" w:rsidRPr="003B1848" w:rsidRDefault="007625FD" w:rsidP="007625FD">
      <w:pPr>
        <w:pStyle w:val="TOCHeading"/>
        <w:spacing w:before="0" w:line="276" w:lineRule="auto"/>
        <w:jc w:val="both"/>
        <w:rPr>
          <w:color w:val="30AEB9"/>
        </w:rPr>
      </w:pPr>
      <w:r w:rsidRPr="003B1848">
        <w:rPr>
          <w:color w:val="30AEB9"/>
        </w:rPr>
        <w:t>Contents</w:t>
      </w:r>
    </w:p>
    <w:p w14:paraId="28082FEF" w14:textId="01E75D2D" w:rsidR="000C2C5E" w:rsidRDefault="007625FD">
      <w:pPr>
        <w:pStyle w:val="TOC1"/>
        <w:rPr>
          <w:noProof/>
          <w:lang w:eastAsia="en-GB"/>
        </w:rPr>
      </w:pPr>
      <w:r>
        <w:rPr>
          <w:rFonts w:eastAsiaTheme="minorHAnsi"/>
          <w:b/>
          <w:bCs/>
          <w:noProof/>
        </w:rPr>
        <w:fldChar w:fldCharType="begin"/>
      </w:r>
      <w:r>
        <w:rPr>
          <w:b/>
          <w:bCs/>
          <w:noProof/>
        </w:rPr>
        <w:instrText xml:space="preserve"> TOC \o "1-3" \h \z \u </w:instrText>
      </w:r>
      <w:r>
        <w:rPr>
          <w:rFonts w:eastAsiaTheme="minorHAnsi"/>
          <w:b/>
          <w:bCs/>
          <w:noProof/>
        </w:rPr>
        <w:fldChar w:fldCharType="separate"/>
      </w:r>
      <w:hyperlink w:anchor="_Toc86680463" w:history="1">
        <w:r w:rsidR="000C2C5E" w:rsidRPr="00B17B97">
          <w:rPr>
            <w:rStyle w:val="Hyperlink"/>
            <w:noProof/>
          </w:rPr>
          <w:t>1</w:t>
        </w:r>
        <w:r w:rsidR="000C2C5E">
          <w:rPr>
            <w:noProof/>
            <w:lang w:eastAsia="en-GB"/>
          </w:rPr>
          <w:tab/>
        </w:r>
        <w:r w:rsidR="000C2C5E" w:rsidRPr="00B17B97">
          <w:rPr>
            <w:rStyle w:val="Hyperlink"/>
            <w:noProof/>
          </w:rPr>
          <w:t>Executive Summary</w:t>
        </w:r>
        <w:r w:rsidR="000C2C5E">
          <w:rPr>
            <w:noProof/>
            <w:webHidden/>
          </w:rPr>
          <w:tab/>
        </w:r>
        <w:r w:rsidR="000C2C5E">
          <w:rPr>
            <w:noProof/>
            <w:webHidden/>
          </w:rPr>
          <w:fldChar w:fldCharType="begin"/>
        </w:r>
        <w:r w:rsidR="000C2C5E">
          <w:rPr>
            <w:noProof/>
            <w:webHidden/>
          </w:rPr>
          <w:instrText xml:space="preserve"> PAGEREF _Toc86680463 \h </w:instrText>
        </w:r>
        <w:r w:rsidR="000C2C5E">
          <w:rPr>
            <w:noProof/>
            <w:webHidden/>
          </w:rPr>
        </w:r>
        <w:r w:rsidR="000C2C5E">
          <w:rPr>
            <w:noProof/>
            <w:webHidden/>
          </w:rPr>
          <w:fldChar w:fldCharType="separate"/>
        </w:r>
        <w:r w:rsidR="000C2C5E">
          <w:rPr>
            <w:noProof/>
            <w:webHidden/>
          </w:rPr>
          <w:t>3</w:t>
        </w:r>
        <w:r w:rsidR="000C2C5E">
          <w:rPr>
            <w:noProof/>
            <w:webHidden/>
          </w:rPr>
          <w:fldChar w:fldCharType="end"/>
        </w:r>
      </w:hyperlink>
    </w:p>
    <w:p w14:paraId="5D23BE43" w14:textId="39C3FE0E" w:rsidR="000C2C5E" w:rsidRDefault="000C2C5E">
      <w:pPr>
        <w:pStyle w:val="TOC1"/>
        <w:rPr>
          <w:noProof/>
          <w:lang w:eastAsia="en-GB"/>
        </w:rPr>
      </w:pPr>
      <w:hyperlink w:anchor="_Toc86680464" w:history="1">
        <w:r w:rsidRPr="00B17B97">
          <w:rPr>
            <w:rStyle w:val="Hyperlink"/>
            <w:noProof/>
          </w:rPr>
          <w:t>2</w:t>
        </w:r>
        <w:r>
          <w:rPr>
            <w:noProof/>
            <w:lang w:eastAsia="en-GB"/>
          </w:rPr>
          <w:tab/>
        </w:r>
        <w:r w:rsidRPr="00B17B97">
          <w:rPr>
            <w:rStyle w:val="Hyperlink"/>
            <w:noProof/>
          </w:rPr>
          <w:t>UPI Overview</w:t>
        </w:r>
        <w:r>
          <w:rPr>
            <w:noProof/>
            <w:webHidden/>
          </w:rPr>
          <w:tab/>
        </w:r>
        <w:r>
          <w:rPr>
            <w:noProof/>
            <w:webHidden/>
          </w:rPr>
          <w:fldChar w:fldCharType="begin"/>
        </w:r>
        <w:r>
          <w:rPr>
            <w:noProof/>
            <w:webHidden/>
          </w:rPr>
          <w:instrText xml:space="preserve"> PAGEREF _Toc86680464 \h </w:instrText>
        </w:r>
        <w:r>
          <w:rPr>
            <w:noProof/>
            <w:webHidden/>
          </w:rPr>
        </w:r>
        <w:r>
          <w:rPr>
            <w:noProof/>
            <w:webHidden/>
          </w:rPr>
          <w:fldChar w:fldCharType="separate"/>
        </w:r>
        <w:r>
          <w:rPr>
            <w:noProof/>
            <w:webHidden/>
          </w:rPr>
          <w:t>5</w:t>
        </w:r>
        <w:r>
          <w:rPr>
            <w:noProof/>
            <w:webHidden/>
          </w:rPr>
          <w:fldChar w:fldCharType="end"/>
        </w:r>
      </w:hyperlink>
    </w:p>
    <w:p w14:paraId="3F46F365" w14:textId="6CAF87A7" w:rsidR="000C2C5E" w:rsidRDefault="000C2C5E">
      <w:pPr>
        <w:pStyle w:val="TOC1"/>
        <w:rPr>
          <w:noProof/>
          <w:lang w:eastAsia="en-GB"/>
        </w:rPr>
      </w:pPr>
      <w:hyperlink w:anchor="_Toc86680465" w:history="1">
        <w:r w:rsidRPr="00B17B97">
          <w:rPr>
            <w:rStyle w:val="Hyperlink"/>
            <w:noProof/>
          </w:rPr>
          <w:t>3</w:t>
        </w:r>
        <w:r>
          <w:rPr>
            <w:noProof/>
            <w:lang w:eastAsia="en-GB"/>
          </w:rPr>
          <w:tab/>
        </w:r>
        <w:r w:rsidRPr="00B17B97">
          <w:rPr>
            <w:rStyle w:val="Hyperlink"/>
            <w:noProof/>
          </w:rPr>
          <w:t>UPI Governance Arrangements</w:t>
        </w:r>
        <w:r>
          <w:rPr>
            <w:noProof/>
            <w:webHidden/>
          </w:rPr>
          <w:tab/>
        </w:r>
        <w:r>
          <w:rPr>
            <w:noProof/>
            <w:webHidden/>
          </w:rPr>
          <w:fldChar w:fldCharType="begin"/>
        </w:r>
        <w:r>
          <w:rPr>
            <w:noProof/>
            <w:webHidden/>
          </w:rPr>
          <w:instrText xml:space="preserve"> PAGEREF _Toc86680465 \h </w:instrText>
        </w:r>
        <w:r>
          <w:rPr>
            <w:noProof/>
            <w:webHidden/>
          </w:rPr>
        </w:r>
        <w:r>
          <w:rPr>
            <w:noProof/>
            <w:webHidden/>
          </w:rPr>
          <w:fldChar w:fldCharType="separate"/>
        </w:r>
        <w:r>
          <w:rPr>
            <w:noProof/>
            <w:webHidden/>
          </w:rPr>
          <w:t>6</w:t>
        </w:r>
        <w:r>
          <w:rPr>
            <w:noProof/>
            <w:webHidden/>
          </w:rPr>
          <w:fldChar w:fldCharType="end"/>
        </w:r>
      </w:hyperlink>
    </w:p>
    <w:p w14:paraId="1FF4487A" w14:textId="31729001" w:rsidR="000C2C5E" w:rsidRDefault="000C2C5E">
      <w:pPr>
        <w:pStyle w:val="TOC2"/>
        <w:rPr>
          <w:noProof/>
          <w:lang w:eastAsia="en-GB"/>
        </w:rPr>
      </w:pPr>
      <w:hyperlink w:anchor="_Toc86680466" w:history="1">
        <w:r w:rsidRPr="00B17B97">
          <w:rPr>
            <w:rStyle w:val="Hyperlink"/>
            <w:noProof/>
          </w:rPr>
          <w:t>3.1</w:t>
        </w:r>
        <w:r>
          <w:rPr>
            <w:noProof/>
            <w:lang w:eastAsia="en-GB"/>
          </w:rPr>
          <w:tab/>
        </w:r>
        <w:r w:rsidRPr="00B17B97">
          <w:rPr>
            <w:rStyle w:val="Hyperlink"/>
            <w:noProof/>
          </w:rPr>
          <w:t>Governance Components</w:t>
        </w:r>
        <w:r>
          <w:rPr>
            <w:noProof/>
            <w:webHidden/>
          </w:rPr>
          <w:tab/>
        </w:r>
        <w:r>
          <w:rPr>
            <w:noProof/>
            <w:webHidden/>
          </w:rPr>
          <w:fldChar w:fldCharType="begin"/>
        </w:r>
        <w:r>
          <w:rPr>
            <w:noProof/>
            <w:webHidden/>
          </w:rPr>
          <w:instrText xml:space="preserve"> PAGEREF _Toc86680466 \h </w:instrText>
        </w:r>
        <w:r>
          <w:rPr>
            <w:noProof/>
            <w:webHidden/>
          </w:rPr>
        </w:r>
        <w:r>
          <w:rPr>
            <w:noProof/>
            <w:webHidden/>
          </w:rPr>
          <w:fldChar w:fldCharType="separate"/>
        </w:r>
        <w:r>
          <w:rPr>
            <w:noProof/>
            <w:webHidden/>
          </w:rPr>
          <w:t>6</w:t>
        </w:r>
        <w:r>
          <w:rPr>
            <w:noProof/>
            <w:webHidden/>
          </w:rPr>
          <w:fldChar w:fldCharType="end"/>
        </w:r>
      </w:hyperlink>
    </w:p>
    <w:p w14:paraId="798D418A" w14:textId="1A5FED7F" w:rsidR="000C2C5E" w:rsidRDefault="000C2C5E">
      <w:pPr>
        <w:pStyle w:val="TOC2"/>
        <w:rPr>
          <w:noProof/>
          <w:lang w:eastAsia="en-GB"/>
        </w:rPr>
      </w:pPr>
      <w:hyperlink w:anchor="_Toc86680467" w:history="1">
        <w:r w:rsidRPr="00B17B97">
          <w:rPr>
            <w:rStyle w:val="Hyperlink"/>
            <w:noProof/>
          </w:rPr>
          <w:t>3.2</w:t>
        </w:r>
        <w:r>
          <w:rPr>
            <w:noProof/>
            <w:lang w:eastAsia="en-GB"/>
          </w:rPr>
          <w:tab/>
        </w:r>
        <w:r w:rsidRPr="00B17B97">
          <w:rPr>
            <w:rStyle w:val="Hyperlink"/>
            <w:noProof/>
          </w:rPr>
          <w:t>Governance Criteria</w:t>
        </w:r>
        <w:r>
          <w:rPr>
            <w:noProof/>
            <w:webHidden/>
          </w:rPr>
          <w:tab/>
        </w:r>
        <w:r>
          <w:rPr>
            <w:noProof/>
            <w:webHidden/>
          </w:rPr>
          <w:fldChar w:fldCharType="begin"/>
        </w:r>
        <w:r>
          <w:rPr>
            <w:noProof/>
            <w:webHidden/>
          </w:rPr>
          <w:instrText xml:space="preserve"> PAGEREF _Toc86680467 \h </w:instrText>
        </w:r>
        <w:r>
          <w:rPr>
            <w:noProof/>
            <w:webHidden/>
          </w:rPr>
        </w:r>
        <w:r>
          <w:rPr>
            <w:noProof/>
            <w:webHidden/>
          </w:rPr>
          <w:fldChar w:fldCharType="separate"/>
        </w:r>
        <w:r>
          <w:rPr>
            <w:noProof/>
            <w:webHidden/>
          </w:rPr>
          <w:t>10</w:t>
        </w:r>
        <w:r>
          <w:rPr>
            <w:noProof/>
            <w:webHidden/>
          </w:rPr>
          <w:fldChar w:fldCharType="end"/>
        </w:r>
      </w:hyperlink>
    </w:p>
    <w:p w14:paraId="3B184771" w14:textId="3191F567" w:rsidR="000C2C5E" w:rsidRDefault="000C2C5E">
      <w:pPr>
        <w:pStyle w:val="TOC1"/>
        <w:rPr>
          <w:noProof/>
          <w:lang w:eastAsia="en-GB"/>
        </w:rPr>
      </w:pPr>
      <w:hyperlink w:anchor="_Toc86680468" w:history="1">
        <w:r w:rsidRPr="00B17B97">
          <w:rPr>
            <w:rStyle w:val="Hyperlink"/>
            <w:noProof/>
          </w:rPr>
          <w:t>4</w:t>
        </w:r>
        <w:r>
          <w:rPr>
            <w:noProof/>
            <w:lang w:eastAsia="en-GB"/>
          </w:rPr>
          <w:tab/>
        </w:r>
        <w:r w:rsidRPr="00B17B97">
          <w:rPr>
            <w:rStyle w:val="Hyperlink"/>
            <w:noProof/>
          </w:rPr>
          <w:t>Assumptions</w:t>
        </w:r>
        <w:r>
          <w:rPr>
            <w:noProof/>
            <w:webHidden/>
          </w:rPr>
          <w:tab/>
        </w:r>
        <w:r>
          <w:rPr>
            <w:noProof/>
            <w:webHidden/>
          </w:rPr>
          <w:fldChar w:fldCharType="begin"/>
        </w:r>
        <w:r>
          <w:rPr>
            <w:noProof/>
            <w:webHidden/>
          </w:rPr>
          <w:instrText xml:space="preserve"> PAGEREF _Toc86680468 \h </w:instrText>
        </w:r>
        <w:r>
          <w:rPr>
            <w:noProof/>
            <w:webHidden/>
          </w:rPr>
        </w:r>
        <w:r>
          <w:rPr>
            <w:noProof/>
            <w:webHidden/>
          </w:rPr>
          <w:fldChar w:fldCharType="separate"/>
        </w:r>
        <w:r>
          <w:rPr>
            <w:noProof/>
            <w:webHidden/>
          </w:rPr>
          <w:t>12</w:t>
        </w:r>
        <w:r>
          <w:rPr>
            <w:noProof/>
            <w:webHidden/>
          </w:rPr>
          <w:fldChar w:fldCharType="end"/>
        </w:r>
      </w:hyperlink>
    </w:p>
    <w:p w14:paraId="2D797AB7" w14:textId="78E525D9" w:rsidR="000C2C5E" w:rsidRDefault="000C2C5E">
      <w:pPr>
        <w:pStyle w:val="TOC2"/>
        <w:rPr>
          <w:noProof/>
          <w:lang w:eastAsia="en-GB"/>
        </w:rPr>
      </w:pPr>
      <w:hyperlink w:anchor="_Toc86680469" w:history="1">
        <w:r w:rsidRPr="00B17B97">
          <w:rPr>
            <w:rStyle w:val="Hyperlink"/>
            <w:noProof/>
          </w:rPr>
          <w:t>4.1</w:t>
        </w:r>
        <w:r>
          <w:rPr>
            <w:noProof/>
            <w:lang w:eastAsia="en-GB"/>
          </w:rPr>
          <w:tab/>
        </w:r>
        <w:r w:rsidRPr="00B17B97">
          <w:rPr>
            <w:rStyle w:val="Hyperlink"/>
            <w:noProof/>
          </w:rPr>
          <w:t>Leveraging the DSB’s Existing Service Provision and Common Agreement</w:t>
        </w:r>
        <w:r>
          <w:rPr>
            <w:noProof/>
            <w:webHidden/>
          </w:rPr>
          <w:tab/>
        </w:r>
        <w:r>
          <w:rPr>
            <w:noProof/>
            <w:webHidden/>
          </w:rPr>
          <w:fldChar w:fldCharType="begin"/>
        </w:r>
        <w:r>
          <w:rPr>
            <w:noProof/>
            <w:webHidden/>
          </w:rPr>
          <w:instrText xml:space="preserve"> PAGEREF _Toc86680469 \h </w:instrText>
        </w:r>
        <w:r>
          <w:rPr>
            <w:noProof/>
            <w:webHidden/>
          </w:rPr>
        </w:r>
        <w:r>
          <w:rPr>
            <w:noProof/>
            <w:webHidden/>
          </w:rPr>
          <w:fldChar w:fldCharType="separate"/>
        </w:r>
        <w:r>
          <w:rPr>
            <w:noProof/>
            <w:webHidden/>
          </w:rPr>
          <w:t>12</w:t>
        </w:r>
        <w:r>
          <w:rPr>
            <w:noProof/>
            <w:webHidden/>
          </w:rPr>
          <w:fldChar w:fldCharType="end"/>
        </w:r>
      </w:hyperlink>
    </w:p>
    <w:p w14:paraId="28658EF5" w14:textId="59F7F162" w:rsidR="000C2C5E" w:rsidRDefault="000C2C5E">
      <w:pPr>
        <w:pStyle w:val="TOC2"/>
        <w:rPr>
          <w:noProof/>
          <w:lang w:eastAsia="en-GB"/>
        </w:rPr>
      </w:pPr>
      <w:hyperlink w:anchor="_Toc86680470" w:history="1">
        <w:r w:rsidRPr="00B17B97">
          <w:rPr>
            <w:rStyle w:val="Hyperlink"/>
            <w:noProof/>
          </w:rPr>
          <w:t>4.2</w:t>
        </w:r>
        <w:r>
          <w:rPr>
            <w:noProof/>
            <w:lang w:eastAsia="en-GB"/>
          </w:rPr>
          <w:tab/>
        </w:r>
        <w:r w:rsidRPr="00B17B97">
          <w:rPr>
            <w:rStyle w:val="Hyperlink"/>
            <w:noProof/>
          </w:rPr>
          <w:t>DSB’s UPI Implementation Timeline</w:t>
        </w:r>
        <w:r>
          <w:rPr>
            <w:noProof/>
            <w:webHidden/>
          </w:rPr>
          <w:tab/>
        </w:r>
        <w:r>
          <w:rPr>
            <w:noProof/>
            <w:webHidden/>
          </w:rPr>
          <w:fldChar w:fldCharType="begin"/>
        </w:r>
        <w:r>
          <w:rPr>
            <w:noProof/>
            <w:webHidden/>
          </w:rPr>
          <w:instrText xml:space="preserve"> PAGEREF _Toc86680470 \h </w:instrText>
        </w:r>
        <w:r>
          <w:rPr>
            <w:noProof/>
            <w:webHidden/>
          </w:rPr>
        </w:r>
        <w:r>
          <w:rPr>
            <w:noProof/>
            <w:webHidden/>
          </w:rPr>
          <w:fldChar w:fldCharType="separate"/>
        </w:r>
        <w:r>
          <w:rPr>
            <w:noProof/>
            <w:webHidden/>
          </w:rPr>
          <w:t>16</w:t>
        </w:r>
        <w:r>
          <w:rPr>
            <w:noProof/>
            <w:webHidden/>
          </w:rPr>
          <w:fldChar w:fldCharType="end"/>
        </w:r>
      </w:hyperlink>
    </w:p>
    <w:p w14:paraId="5B2A03A0" w14:textId="2657E797" w:rsidR="000C2C5E" w:rsidRDefault="000C2C5E">
      <w:pPr>
        <w:pStyle w:val="TOC2"/>
        <w:rPr>
          <w:noProof/>
          <w:lang w:eastAsia="en-GB"/>
        </w:rPr>
      </w:pPr>
      <w:hyperlink w:anchor="_Toc86680471" w:history="1">
        <w:r w:rsidRPr="00B17B97">
          <w:rPr>
            <w:rStyle w:val="Hyperlink"/>
            <w:noProof/>
          </w:rPr>
          <w:t>4.3</w:t>
        </w:r>
        <w:r>
          <w:rPr>
            <w:noProof/>
            <w:lang w:eastAsia="en-GB"/>
          </w:rPr>
          <w:tab/>
        </w:r>
        <w:r w:rsidRPr="00B17B97">
          <w:rPr>
            <w:rStyle w:val="Hyperlink"/>
            <w:noProof/>
          </w:rPr>
          <w:t>UPI Adoption Expectations</w:t>
        </w:r>
        <w:r>
          <w:rPr>
            <w:noProof/>
            <w:webHidden/>
          </w:rPr>
          <w:tab/>
        </w:r>
        <w:r>
          <w:rPr>
            <w:noProof/>
            <w:webHidden/>
          </w:rPr>
          <w:fldChar w:fldCharType="begin"/>
        </w:r>
        <w:r>
          <w:rPr>
            <w:noProof/>
            <w:webHidden/>
          </w:rPr>
          <w:instrText xml:space="preserve"> PAGEREF _Toc86680471 \h </w:instrText>
        </w:r>
        <w:r>
          <w:rPr>
            <w:noProof/>
            <w:webHidden/>
          </w:rPr>
        </w:r>
        <w:r>
          <w:rPr>
            <w:noProof/>
            <w:webHidden/>
          </w:rPr>
          <w:fldChar w:fldCharType="separate"/>
        </w:r>
        <w:r>
          <w:rPr>
            <w:noProof/>
            <w:webHidden/>
          </w:rPr>
          <w:t>16</w:t>
        </w:r>
        <w:r>
          <w:rPr>
            <w:noProof/>
            <w:webHidden/>
          </w:rPr>
          <w:fldChar w:fldCharType="end"/>
        </w:r>
      </w:hyperlink>
    </w:p>
    <w:p w14:paraId="75D9FAEC" w14:textId="0BCEDA59" w:rsidR="000C2C5E" w:rsidRDefault="000C2C5E">
      <w:pPr>
        <w:pStyle w:val="TOC2"/>
        <w:rPr>
          <w:noProof/>
          <w:lang w:eastAsia="en-GB"/>
        </w:rPr>
      </w:pPr>
      <w:hyperlink w:anchor="_Toc86680472" w:history="1">
        <w:r w:rsidRPr="00B17B97">
          <w:rPr>
            <w:rStyle w:val="Hyperlink"/>
            <w:noProof/>
          </w:rPr>
          <w:t>4.4</w:t>
        </w:r>
        <w:r>
          <w:rPr>
            <w:noProof/>
            <w:lang w:eastAsia="en-GB"/>
          </w:rPr>
          <w:tab/>
        </w:r>
        <w:r w:rsidRPr="00B17B97">
          <w:rPr>
            <w:rStyle w:val="Hyperlink"/>
            <w:noProof/>
          </w:rPr>
          <w:t>DSB Principles</w:t>
        </w:r>
        <w:r>
          <w:rPr>
            <w:noProof/>
            <w:webHidden/>
          </w:rPr>
          <w:tab/>
        </w:r>
        <w:r>
          <w:rPr>
            <w:noProof/>
            <w:webHidden/>
          </w:rPr>
          <w:fldChar w:fldCharType="begin"/>
        </w:r>
        <w:r>
          <w:rPr>
            <w:noProof/>
            <w:webHidden/>
          </w:rPr>
          <w:instrText xml:space="preserve"> PAGEREF _Toc86680472 \h </w:instrText>
        </w:r>
        <w:r>
          <w:rPr>
            <w:noProof/>
            <w:webHidden/>
          </w:rPr>
        </w:r>
        <w:r>
          <w:rPr>
            <w:noProof/>
            <w:webHidden/>
          </w:rPr>
          <w:fldChar w:fldCharType="separate"/>
        </w:r>
        <w:r>
          <w:rPr>
            <w:noProof/>
            <w:webHidden/>
          </w:rPr>
          <w:t>17</w:t>
        </w:r>
        <w:r>
          <w:rPr>
            <w:noProof/>
            <w:webHidden/>
          </w:rPr>
          <w:fldChar w:fldCharType="end"/>
        </w:r>
      </w:hyperlink>
    </w:p>
    <w:p w14:paraId="467C1BDB" w14:textId="3D61A4E1" w:rsidR="000C2C5E" w:rsidRDefault="000C2C5E">
      <w:pPr>
        <w:pStyle w:val="TOC1"/>
        <w:rPr>
          <w:noProof/>
          <w:lang w:eastAsia="en-GB"/>
        </w:rPr>
      </w:pPr>
      <w:hyperlink w:anchor="_Toc86680473" w:history="1">
        <w:r w:rsidRPr="00B17B97">
          <w:rPr>
            <w:rStyle w:val="Hyperlink"/>
            <w:noProof/>
          </w:rPr>
          <w:t>5</w:t>
        </w:r>
        <w:r>
          <w:rPr>
            <w:noProof/>
            <w:lang w:eastAsia="en-GB"/>
          </w:rPr>
          <w:tab/>
        </w:r>
        <w:r w:rsidRPr="00B17B97">
          <w:rPr>
            <w:rStyle w:val="Hyperlink"/>
            <w:noProof/>
          </w:rPr>
          <w:t>Consultation Proposals and Questions</w:t>
        </w:r>
        <w:r>
          <w:rPr>
            <w:noProof/>
            <w:webHidden/>
          </w:rPr>
          <w:tab/>
        </w:r>
        <w:r>
          <w:rPr>
            <w:noProof/>
            <w:webHidden/>
          </w:rPr>
          <w:fldChar w:fldCharType="begin"/>
        </w:r>
        <w:r>
          <w:rPr>
            <w:noProof/>
            <w:webHidden/>
          </w:rPr>
          <w:instrText xml:space="preserve"> PAGEREF _Toc86680473 \h </w:instrText>
        </w:r>
        <w:r>
          <w:rPr>
            <w:noProof/>
            <w:webHidden/>
          </w:rPr>
        </w:r>
        <w:r>
          <w:rPr>
            <w:noProof/>
            <w:webHidden/>
          </w:rPr>
          <w:fldChar w:fldCharType="separate"/>
        </w:r>
        <w:r>
          <w:rPr>
            <w:noProof/>
            <w:webHidden/>
          </w:rPr>
          <w:t>19</w:t>
        </w:r>
        <w:r>
          <w:rPr>
            <w:noProof/>
            <w:webHidden/>
          </w:rPr>
          <w:fldChar w:fldCharType="end"/>
        </w:r>
      </w:hyperlink>
    </w:p>
    <w:p w14:paraId="22457E99" w14:textId="07B580CC" w:rsidR="000C2C5E" w:rsidRDefault="000C2C5E">
      <w:pPr>
        <w:pStyle w:val="TOC2"/>
        <w:rPr>
          <w:noProof/>
          <w:lang w:eastAsia="en-GB"/>
        </w:rPr>
      </w:pPr>
      <w:hyperlink w:anchor="_Toc86680474" w:history="1">
        <w:r w:rsidRPr="00B17B97">
          <w:rPr>
            <w:rStyle w:val="Hyperlink"/>
            <w:noProof/>
          </w:rPr>
          <w:t>5.1</w:t>
        </w:r>
        <w:r>
          <w:rPr>
            <w:noProof/>
            <w:lang w:eastAsia="en-GB"/>
          </w:rPr>
          <w:tab/>
        </w:r>
        <w:r w:rsidRPr="00B17B97">
          <w:rPr>
            <w:rStyle w:val="Hyperlink"/>
            <w:noProof/>
          </w:rPr>
          <w:t>Q1 – Client Onboarding and Support Platform (COSP)</w:t>
        </w:r>
        <w:r>
          <w:rPr>
            <w:noProof/>
            <w:webHidden/>
          </w:rPr>
          <w:tab/>
        </w:r>
        <w:r>
          <w:rPr>
            <w:noProof/>
            <w:webHidden/>
          </w:rPr>
          <w:fldChar w:fldCharType="begin"/>
        </w:r>
        <w:r>
          <w:rPr>
            <w:noProof/>
            <w:webHidden/>
          </w:rPr>
          <w:instrText xml:space="preserve"> PAGEREF _Toc86680474 \h </w:instrText>
        </w:r>
        <w:r>
          <w:rPr>
            <w:noProof/>
            <w:webHidden/>
          </w:rPr>
        </w:r>
        <w:r>
          <w:rPr>
            <w:noProof/>
            <w:webHidden/>
          </w:rPr>
          <w:fldChar w:fldCharType="separate"/>
        </w:r>
        <w:r>
          <w:rPr>
            <w:noProof/>
            <w:webHidden/>
          </w:rPr>
          <w:t>20</w:t>
        </w:r>
        <w:r>
          <w:rPr>
            <w:noProof/>
            <w:webHidden/>
          </w:rPr>
          <w:fldChar w:fldCharType="end"/>
        </w:r>
      </w:hyperlink>
    </w:p>
    <w:p w14:paraId="5F16657C" w14:textId="601A19D4" w:rsidR="000C2C5E" w:rsidRDefault="000C2C5E">
      <w:pPr>
        <w:pStyle w:val="TOC2"/>
        <w:rPr>
          <w:noProof/>
          <w:lang w:eastAsia="en-GB"/>
        </w:rPr>
      </w:pPr>
      <w:hyperlink w:anchor="_Toc86680475" w:history="1">
        <w:r w:rsidRPr="00B17B97">
          <w:rPr>
            <w:rStyle w:val="Hyperlink"/>
            <w:noProof/>
          </w:rPr>
          <w:t>5.2</w:t>
        </w:r>
        <w:r>
          <w:rPr>
            <w:noProof/>
            <w:lang w:eastAsia="en-GB"/>
          </w:rPr>
          <w:tab/>
        </w:r>
        <w:r w:rsidRPr="00B17B97">
          <w:rPr>
            <w:rStyle w:val="Hyperlink"/>
            <w:noProof/>
          </w:rPr>
          <w:t>Q2 - Common Agreement</w:t>
        </w:r>
        <w:r>
          <w:rPr>
            <w:noProof/>
            <w:webHidden/>
          </w:rPr>
          <w:tab/>
        </w:r>
        <w:r>
          <w:rPr>
            <w:noProof/>
            <w:webHidden/>
          </w:rPr>
          <w:fldChar w:fldCharType="begin"/>
        </w:r>
        <w:r>
          <w:rPr>
            <w:noProof/>
            <w:webHidden/>
          </w:rPr>
          <w:instrText xml:space="preserve"> PAGEREF _Toc86680475 \h </w:instrText>
        </w:r>
        <w:r>
          <w:rPr>
            <w:noProof/>
            <w:webHidden/>
          </w:rPr>
        </w:r>
        <w:r>
          <w:rPr>
            <w:noProof/>
            <w:webHidden/>
          </w:rPr>
          <w:fldChar w:fldCharType="separate"/>
        </w:r>
        <w:r>
          <w:rPr>
            <w:noProof/>
            <w:webHidden/>
          </w:rPr>
          <w:t>23</w:t>
        </w:r>
        <w:r>
          <w:rPr>
            <w:noProof/>
            <w:webHidden/>
          </w:rPr>
          <w:fldChar w:fldCharType="end"/>
        </w:r>
      </w:hyperlink>
    </w:p>
    <w:p w14:paraId="79401ED5" w14:textId="28433E07" w:rsidR="000C2C5E" w:rsidRDefault="000C2C5E">
      <w:pPr>
        <w:pStyle w:val="TOC2"/>
        <w:rPr>
          <w:noProof/>
          <w:lang w:eastAsia="en-GB"/>
        </w:rPr>
      </w:pPr>
      <w:hyperlink w:anchor="_Toc86680476" w:history="1">
        <w:r w:rsidRPr="00B17B97">
          <w:rPr>
            <w:rStyle w:val="Hyperlink"/>
            <w:noProof/>
          </w:rPr>
          <w:t>5.3</w:t>
        </w:r>
        <w:r>
          <w:rPr>
            <w:noProof/>
            <w:lang w:eastAsia="en-GB"/>
          </w:rPr>
          <w:tab/>
        </w:r>
        <w:r w:rsidRPr="00B17B97">
          <w:rPr>
            <w:rStyle w:val="Hyperlink"/>
            <w:noProof/>
          </w:rPr>
          <w:t>Q3 – UPI Service Onboarding and User Experience</w:t>
        </w:r>
        <w:r>
          <w:rPr>
            <w:noProof/>
            <w:webHidden/>
          </w:rPr>
          <w:tab/>
        </w:r>
        <w:r>
          <w:rPr>
            <w:noProof/>
            <w:webHidden/>
          </w:rPr>
          <w:fldChar w:fldCharType="begin"/>
        </w:r>
        <w:r>
          <w:rPr>
            <w:noProof/>
            <w:webHidden/>
          </w:rPr>
          <w:instrText xml:space="preserve"> PAGEREF _Toc86680476 \h </w:instrText>
        </w:r>
        <w:r>
          <w:rPr>
            <w:noProof/>
            <w:webHidden/>
          </w:rPr>
        </w:r>
        <w:r>
          <w:rPr>
            <w:noProof/>
            <w:webHidden/>
          </w:rPr>
          <w:fldChar w:fldCharType="separate"/>
        </w:r>
        <w:r>
          <w:rPr>
            <w:noProof/>
            <w:webHidden/>
          </w:rPr>
          <w:t>32</w:t>
        </w:r>
        <w:r>
          <w:rPr>
            <w:noProof/>
            <w:webHidden/>
          </w:rPr>
          <w:fldChar w:fldCharType="end"/>
        </w:r>
      </w:hyperlink>
    </w:p>
    <w:p w14:paraId="2BEBDAF3" w14:textId="077E8956" w:rsidR="000C2C5E" w:rsidRDefault="000C2C5E">
      <w:pPr>
        <w:pStyle w:val="TOC2"/>
        <w:rPr>
          <w:noProof/>
          <w:lang w:eastAsia="en-GB"/>
        </w:rPr>
      </w:pPr>
      <w:hyperlink w:anchor="_Toc86680477" w:history="1">
        <w:r w:rsidRPr="00B17B97">
          <w:rPr>
            <w:rStyle w:val="Hyperlink"/>
            <w:noProof/>
          </w:rPr>
          <w:t>5.4</w:t>
        </w:r>
        <w:r>
          <w:rPr>
            <w:noProof/>
            <w:lang w:eastAsia="en-GB"/>
          </w:rPr>
          <w:tab/>
        </w:r>
        <w:r w:rsidRPr="00B17B97">
          <w:rPr>
            <w:rStyle w:val="Hyperlink"/>
            <w:noProof/>
          </w:rPr>
          <w:t>Q4 – LEI for Entity Identity Verification</w:t>
        </w:r>
        <w:r>
          <w:rPr>
            <w:noProof/>
            <w:webHidden/>
          </w:rPr>
          <w:tab/>
        </w:r>
        <w:r>
          <w:rPr>
            <w:noProof/>
            <w:webHidden/>
          </w:rPr>
          <w:fldChar w:fldCharType="begin"/>
        </w:r>
        <w:r>
          <w:rPr>
            <w:noProof/>
            <w:webHidden/>
          </w:rPr>
          <w:instrText xml:space="preserve"> PAGEREF _Toc86680477 \h </w:instrText>
        </w:r>
        <w:r>
          <w:rPr>
            <w:noProof/>
            <w:webHidden/>
          </w:rPr>
        </w:r>
        <w:r>
          <w:rPr>
            <w:noProof/>
            <w:webHidden/>
          </w:rPr>
          <w:fldChar w:fldCharType="separate"/>
        </w:r>
        <w:r>
          <w:rPr>
            <w:noProof/>
            <w:webHidden/>
          </w:rPr>
          <w:t>37</w:t>
        </w:r>
        <w:r>
          <w:rPr>
            <w:noProof/>
            <w:webHidden/>
          </w:rPr>
          <w:fldChar w:fldCharType="end"/>
        </w:r>
      </w:hyperlink>
    </w:p>
    <w:p w14:paraId="123B62A3" w14:textId="58E9CE79" w:rsidR="000C2C5E" w:rsidRDefault="000C2C5E">
      <w:pPr>
        <w:pStyle w:val="TOC2"/>
        <w:rPr>
          <w:noProof/>
          <w:lang w:eastAsia="en-GB"/>
        </w:rPr>
      </w:pPr>
      <w:hyperlink w:anchor="_Toc86680478" w:history="1">
        <w:r w:rsidRPr="00B17B97">
          <w:rPr>
            <w:rStyle w:val="Hyperlink"/>
            <w:noProof/>
          </w:rPr>
          <w:t>5.5</w:t>
        </w:r>
        <w:r>
          <w:rPr>
            <w:noProof/>
            <w:lang w:eastAsia="en-GB"/>
          </w:rPr>
          <w:tab/>
        </w:r>
        <w:r w:rsidRPr="00B17B97">
          <w:rPr>
            <w:rStyle w:val="Hyperlink"/>
            <w:noProof/>
          </w:rPr>
          <w:t>Q5 - Pre-payment</w:t>
        </w:r>
        <w:r>
          <w:rPr>
            <w:noProof/>
            <w:webHidden/>
          </w:rPr>
          <w:tab/>
        </w:r>
        <w:r>
          <w:rPr>
            <w:noProof/>
            <w:webHidden/>
          </w:rPr>
          <w:fldChar w:fldCharType="begin"/>
        </w:r>
        <w:r>
          <w:rPr>
            <w:noProof/>
            <w:webHidden/>
          </w:rPr>
          <w:instrText xml:space="preserve"> PAGEREF _Toc86680478 \h </w:instrText>
        </w:r>
        <w:r>
          <w:rPr>
            <w:noProof/>
            <w:webHidden/>
          </w:rPr>
        </w:r>
        <w:r>
          <w:rPr>
            <w:noProof/>
            <w:webHidden/>
          </w:rPr>
          <w:fldChar w:fldCharType="separate"/>
        </w:r>
        <w:r>
          <w:rPr>
            <w:noProof/>
            <w:webHidden/>
          </w:rPr>
          <w:t>40</w:t>
        </w:r>
        <w:r>
          <w:rPr>
            <w:noProof/>
            <w:webHidden/>
          </w:rPr>
          <w:fldChar w:fldCharType="end"/>
        </w:r>
      </w:hyperlink>
    </w:p>
    <w:p w14:paraId="0B43D033" w14:textId="0A74B2B8" w:rsidR="000C2C5E" w:rsidRDefault="000C2C5E">
      <w:pPr>
        <w:pStyle w:val="TOC2"/>
        <w:rPr>
          <w:noProof/>
          <w:lang w:eastAsia="en-GB"/>
        </w:rPr>
      </w:pPr>
      <w:hyperlink w:anchor="_Toc86680479" w:history="1">
        <w:r w:rsidRPr="00B17B97">
          <w:rPr>
            <w:rStyle w:val="Hyperlink"/>
            <w:noProof/>
          </w:rPr>
          <w:t>5.6</w:t>
        </w:r>
        <w:r>
          <w:rPr>
            <w:noProof/>
            <w:lang w:eastAsia="en-GB"/>
          </w:rPr>
          <w:tab/>
        </w:r>
        <w:r w:rsidRPr="00B17B97">
          <w:rPr>
            <w:rStyle w:val="Hyperlink"/>
            <w:noProof/>
          </w:rPr>
          <w:t>Q6 – Service Activation</w:t>
        </w:r>
        <w:r>
          <w:rPr>
            <w:noProof/>
            <w:webHidden/>
          </w:rPr>
          <w:tab/>
        </w:r>
        <w:r>
          <w:rPr>
            <w:noProof/>
            <w:webHidden/>
          </w:rPr>
          <w:fldChar w:fldCharType="begin"/>
        </w:r>
        <w:r>
          <w:rPr>
            <w:noProof/>
            <w:webHidden/>
          </w:rPr>
          <w:instrText xml:space="preserve"> PAGEREF _Toc86680479 \h </w:instrText>
        </w:r>
        <w:r>
          <w:rPr>
            <w:noProof/>
            <w:webHidden/>
          </w:rPr>
        </w:r>
        <w:r>
          <w:rPr>
            <w:noProof/>
            <w:webHidden/>
          </w:rPr>
          <w:fldChar w:fldCharType="separate"/>
        </w:r>
        <w:r>
          <w:rPr>
            <w:noProof/>
            <w:webHidden/>
          </w:rPr>
          <w:t>41</w:t>
        </w:r>
        <w:r>
          <w:rPr>
            <w:noProof/>
            <w:webHidden/>
          </w:rPr>
          <w:fldChar w:fldCharType="end"/>
        </w:r>
      </w:hyperlink>
    </w:p>
    <w:p w14:paraId="4396E4DB" w14:textId="72822F1E" w:rsidR="000C2C5E" w:rsidRDefault="000C2C5E">
      <w:pPr>
        <w:pStyle w:val="TOC2"/>
        <w:rPr>
          <w:noProof/>
          <w:lang w:eastAsia="en-GB"/>
        </w:rPr>
      </w:pPr>
      <w:hyperlink w:anchor="_Toc86680480" w:history="1">
        <w:r w:rsidRPr="00B17B97">
          <w:rPr>
            <w:rStyle w:val="Hyperlink"/>
            <w:noProof/>
          </w:rPr>
          <w:t>5.7</w:t>
        </w:r>
        <w:r>
          <w:rPr>
            <w:noProof/>
            <w:lang w:eastAsia="en-GB"/>
          </w:rPr>
          <w:tab/>
        </w:r>
        <w:r w:rsidRPr="00B17B97">
          <w:rPr>
            <w:rStyle w:val="Hyperlink"/>
            <w:noProof/>
          </w:rPr>
          <w:t>Q7 – Termination, Suspension and Renewals</w:t>
        </w:r>
        <w:r>
          <w:rPr>
            <w:noProof/>
            <w:webHidden/>
          </w:rPr>
          <w:tab/>
        </w:r>
        <w:r>
          <w:rPr>
            <w:noProof/>
            <w:webHidden/>
          </w:rPr>
          <w:fldChar w:fldCharType="begin"/>
        </w:r>
        <w:r>
          <w:rPr>
            <w:noProof/>
            <w:webHidden/>
          </w:rPr>
          <w:instrText xml:space="preserve"> PAGEREF _Toc86680480 \h </w:instrText>
        </w:r>
        <w:r>
          <w:rPr>
            <w:noProof/>
            <w:webHidden/>
          </w:rPr>
        </w:r>
        <w:r>
          <w:rPr>
            <w:noProof/>
            <w:webHidden/>
          </w:rPr>
          <w:fldChar w:fldCharType="separate"/>
        </w:r>
        <w:r>
          <w:rPr>
            <w:noProof/>
            <w:webHidden/>
          </w:rPr>
          <w:t>43</w:t>
        </w:r>
        <w:r>
          <w:rPr>
            <w:noProof/>
            <w:webHidden/>
          </w:rPr>
          <w:fldChar w:fldCharType="end"/>
        </w:r>
      </w:hyperlink>
    </w:p>
    <w:p w14:paraId="0ED68578" w14:textId="62AC3BB8" w:rsidR="000C2C5E" w:rsidRDefault="000C2C5E">
      <w:pPr>
        <w:pStyle w:val="TOC2"/>
        <w:rPr>
          <w:noProof/>
          <w:lang w:eastAsia="en-GB"/>
        </w:rPr>
      </w:pPr>
      <w:hyperlink w:anchor="_Toc86680481" w:history="1">
        <w:r w:rsidRPr="00B17B97">
          <w:rPr>
            <w:rStyle w:val="Hyperlink"/>
            <w:noProof/>
          </w:rPr>
          <w:t>5.8</w:t>
        </w:r>
        <w:r>
          <w:rPr>
            <w:noProof/>
            <w:lang w:eastAsia="en-GB"/>
          </w:rPr>
          <w:tab/>
        </w:r>
        <w:r w:rsidRPr="00B17B97">
          <w:rPr>
            <w:rStyle w:val="Hyperlink"/>
            <w:noProof/>
          </w:rPr>
          <w:t>Q8 – In-Life Events</w:t>
        </w:r>
        <w:r>
          <w:rPr>
            <w:noProof/>
            <w:webHidden/>
          </w:rPr>
          <w:tab/>
        </w:r>
        <w:r>
          <w:rPr>
            <w:noProof/>
            <w:webHidden/>
          </w:rPr>
          <w:fldChar w:fldCharType="begin"/>
        </w:r>
        <w:r>
          <w:rPr>
            <w:noProof/>
            <w:webHidden/>
          </w:rPr>
          <w:instrText xml:space="preserve"> PAGEREF _Toc86680481 \h </w:instrText>
        </w:r>
        <w:r>
          <w:rPr>
            <w:noProof/>
            <w:webHidden/>
          </w:rPr>
        </w:r>
        <w:r>
          <w:rPr>
            <w:noProof/>
            <w:webHidden/>
          </w:rPr>
          <w:fldChar w:fldCharType="separate"/>
        </w:r>
        <w:r>
          <w:rPr>
            <w:noProof/>
            <w:webHidden/>
          </w:rPr>
          <w:t>45</w:t>
        </w:r>
        <w:r>
          <w:rPr>
            <w:noProof/>
            <w:webHidden/>
          </w:rPr>
          <w:fldChar w:fldCharType="end"/>
        </w:r>
      </w:hyperlink>
    </w:p>
    <w:p w14:paraId="56CB1340" w14:textId="0B70C5AF" w:rsidR="000C2C5E" w:rsidRDefault="000C2C5E">
      <w:pPr>
        <w:pStyle w:val="TOC2"/>
        <w:rPr>
          <w:noProof/>
          <w:lang w:eastAsia="en-GB"/>
        </w:rPr>
      </w:pPr>
      <w:hyperlink w:anchor="_Toc86680482" w:history="1">
        <w:r w:rsidRPr="00B17B97">
          <w:rPr>
            <w:rStyle w:val="Hyperlink"/>
            <w:noProof/>
          </w:rPr>
          <w:t>5.9</w:t>
        </w:r>
        <w:r>
          <w:rPr>
            <w:noProof/>
            <w:lang w:eastAsia="en-GB"/>
          </w:rPr>
          <w:tab/>
        </w:r>
        <w:r w:rsidRPr="00B17B97">
          <w:rPr>
            <w:rStyle w:val="Hyperlink"/>
            <w:noProof/>
          </w:rPr>
          <w:t>Q9 - Service Level Agreements</w:t>
        </w:r>
        <w:r>
          <w:rPr>
            <w:noProof/>
            <w:webHidden/>
          </w:rPr>
          <w:tab/>
        </w:r>
        <w:r>
          <w:rPr>
            <w:noProof/>
            <w:webHidden/>
          </w:rPr>
          <w:fldChar w:fldCharType="begin"/>
        </w:r>
        <w:r>
          <w:rPr>
            <w:noProof/>
            <w:webHidden/>
          </w:rPr>
          <w:instrText xml:space="preserve"> PAGEREF _Toc86680482 \h </w:instrText>
        </w:r>
        <w:r>
          <w:rPr>
            <w:noProof/>
            <w:webHidden/>
          </w:rPr>
        </w:r>
        <w:r>
          <w:rPr>
            <w:noProof/>
            <w:webHidden/>
          </w:rPr>
          <w:fldChar w:fldCharType="separate"/>
        </w:r>
        <w:r>
          <w:rPr>
            <w:noProof/>
            <w:webHidden/>
          </w:rPr>
          <w:t>47</w:t>
        </w:r>
        <w:r>
          <w:rPr>
            <w:noProof/>
            <w:webHidden/>
          </w:rPr>
          <w:fldChar w:fldCharType="end"/>
        </w:r>
      </w:hyperlink>
    </w:p>
    <w:p w14:paraId="47AE631A" w14:textId="649DF3C7" w:rsidR="000C2C5E" w:rsidRDefault="000C2C5E">
      <w:pPr>
        <w:pStyle w:val="TOC2"/>
        <w:rPr>
          <w:noProof/>
          <w:lang w:eastAsia="en-GB"/>
        </w:rPr>
      </w:pPr>
      <w:hyperlink w:anchor="_Toc86680483" w:history="1">
        <w:r w:rsidRPr="00B17B97">
          <w:rPr>
            <w:rStyle w:val="Hyperlink"/>
            <w:noProof/>
          </w:rPr>
          <w:t>5.10</w:t>
        </w:r>
        <w:r>
          <w:rPr>
            <w:noProof/>
            <w:lang w:eastAsia="en-GB"/>
          </w:rPr>
          <w:tab/>
        </w:r>
        <w:r w:rsidRPr="00B17B97">
          <w:rPr>
            <w:rStyle w:val="Hyperlink"/>
            <w:noProof/>
          </w:rPr>
          <w:t>Q10 – DSB Governance Policy Dispute Resolution Mechanism</w:t>
        </w:r>
        <w:r>
          <w:rPr>
            <w:noProof/>
            <w:webHidden/>
          </w:rPr>
          <w:tab/>
        </w:r>
        <w:r>
          <w:rPr>
            <w:noProof/>
            <w:webHidden/>
          </w:rPr>
          <w:fldChar w:fldCharType="begin"/>
        </w:r>
        <w:r>
          <w:rPr>
            <w:noProof/>
            <w:webHidden/>
          </w:rPr>
          <w:instrText xml:space="preserve"> PAGEREF _Toc86680483 \h </w:instrText>
        </w:r>
        <w:r>
          <w:rPr>
            <w:noProof/>
            <w:webHidden/>
          </w:rPr>
        </w:r>
        <w:r>
          <w:rPr>
            <w:noProof/>
            <w:webHidden/>
          </w:rPr>
          <w:fldChar w:fldCharType="separate"/>
        </w:r>
        <w:r>
          <w:rPr>
            <w:noProof/>
            <w:webHidden/>
          </w:rPr>
          <w:t>48</w:t>
        </w:r>
        <w:r>
          <w:rPr>
            <w:noProof/>
            <w:webHidden/>
          </w:rPr>
          <w:fldChar w:fldCharType="end"/>
        </w:r>
      </w:hyperlink>
    </w:p>
    <w:p w14:paraId="081CC905" w14:textId="5F188D0A" w:rsidR="000C2C5E" w:rsidRDefault="000C2C5E">
      <w:pPr>
        <w:pStyle w:val="TOC2"/>
        <w:rPr>
          <w:noProof/>
          <w:lang w:eastAsia="en-GB"/>
        </w:rPr>
      </w:pPr>
      <w:hyperlink w:anchor="_Toc86680484" w:history="1">
        <w:r w:rsidRPr="00B17B97">
          <w:rPr>
            <w:rStyle w:val="Hyperlink"/>
            <w:noProof/>
          </w:rPr>
          <w:t>5.11</w:t>
        </w:r>
        <w:r>
          <w:rPr>
            <w:noProof/>
            <w:lang w:eastAsia="en-GB"/>
          </w:rPr>
          <w:tab/>
        </w:r>
        <w:r w:rsidRPr="00B17B97">
          <w:rPr>
            <w:rStyle w:val="Hyperlink"/>
            <w:noProof/>
          </w:rPr>
          <w:t>Q11 – Fee Model Variables</w:t>
        </w:r>
        <w:r>
          <w:rPr>
            <w:noProof/>
            <w:webHidden/>
          </w:rPr>
          <w:tab/>
        </w:r>
        <w:r>
          <w:rPr>
            <w:noProof/>
            <w:webHidden/>
          </w:rPr>
          <w:fldChar w:fldCharType="begin"/>
        </w:r>
        <w:r>
          <w:rPr>
            <w:noProof/>
            <w:webHidden/>
          </w:rPr>
          <w:instrText xml:space="preserve"> PAGEREF _Toc86680484 \h </w:instrText>
        </w:r>
        <w:r>
          <w:rPr>
            <w:noProof/>
            <w:webHidden/>
          </w:rPr>
        </w:r>
        <w:r>
          <w:rPr>
            <w:noProof/>
            <w:webHidden/>
          </w:rPr>
          <w:fldChar w:fldCharType="separate"/>
        </w:r>
        <w:r>
          <w:rPr>
            <w:noProof/>
            <w:webHidden/>
          </w:rPr>
          <w:t>50</w:t>
        </w:r>
        <w:r>
          <w:rPr>
            <w:noProof/>
            <w:webHidden/>
          </w:rPr>
          <w:fldChar w:fldCharType="end"/>
        </w:r>
      </w:hyperlink>
    </w:p>
    <w:p w14:paraId="53587FDC" w14:textId="31A7F9AA" w:rsidR="000C2C5E" w:rsidRDefault="000C2C5E">
      <w:pPr>
        <w:pStyle w:val="TOC2"/>
        <w:rPr>
          <w:noProof/>
          <w:lang w:eastAsia="en-GB"/>
        </w:rPr>
      </w:pPr>
      <w:hyperlink w:anchor="_Toc86680485" w:history="1">
        <w:r w:rsidRPr="00B17B97">
          <w:rPr>
            <w:rStyle w:val="Hyperlink"/>
            <w:noProof/>
          </w:rPr>
          <w:t>5.12</w:t>
        </w:r>
        <w:r>
          <w:rPr>
            <w:noProof/>
            <w:lang w:eastAsia="en-GB"/>
          </w:rPr>
          <w:tab/>
        </w:r>
        <w:r w:rsidRPr="00B17B97">
          <w:rPr>
            <w:rStyle w:val="Hyperlink"/>
            <w:noProof/>
          </w:rPr>
          <w:t>Q12 – Intellectual Property &amp; Limitation of Liability</w:t>
        </w:r>
        <w:r>
          <w:rPr>
            <w:noProof/>
            <w:webHidden/>
          </w:rPr>
          <w:tab/>
        </w:r>
        <w:r>
          <w:rPr>
            <w:noProof/>
            <w:webHidden/>
          </w:rPr>
          <w:fldChar w:fldCharType="begin"/>
        </w:r>
        <w:r>
          <w:rPr>
            <w:noProof/>
            <w:webHidden/>
          </w:rPr>
          <w:instrText xml:space="preserve"> PAGEREF _Toc86680485 \h </w:instrText>
        </w:r>
        <w:r>
          <w:rPr>
            <w:noProof/>
            <w:webHidden/>
          </w:rPr>
        </w:r>
        <w:r>
          <w:rPr>
            <w:noProof/>
            <w:webHidden/>
          </w:rPr>
          <w:fldChar w:fldCharType="separate"/>
        </w:r>
        <w:r>
          <w:rPr>
            <w:noProof/>
            <w:webHidden/>
          </w:rPr>
          <w:t>51</w:t>
        </w:r>
        <w:r>
          <w:rPr>
            <w:noProof/>
            <w:webHidden/>
          </w:rPr>
          <w:fldChar w:fldCharType="end"/>
        </w:r>
      </w:hyperlink>
    </w:p>
    <w:p w14:paraId="052DF9DC" w14:textId="5690A732" w:rsidR="000C2C5E" w:rsidRDefault="000C2C5E">
      <w:pPr>
        <w:pStyle w:val="TOC2"/>
        <w:rPr>
          <w:noProof/>
          <w:lang w:eastAsia="en-GB"/>
        </w:rPr>
      </w:pPr>
      <w:hyperlink w:anchor="_Toc86680486" w:history="1">
        <w:r w:rsidRPr="00B17B97">
          <w:rPr>
            <w:rStyle w:val="Hyperlink"/>
            <w:noProof/>
          </w:rPr>
          <w:t>5.13</w:t>
        </w:r>
        <w:r>
          <w:rPr>
            <w:noProof/>
            <w:lang w:eastAsia="en-GB"/>
          </w:rPr>
          <w:tab/>
        </w:r>
        <w:r w:rsidRPr="00B17B97">
          <w:rPr>
            <w:rStyle w:val="Hyperlink"/>
            <w:noProof/>
          </w:rPr>
          <w:t>Q13 - Contingency Arrangements</w:t>
        </w:r>
        <w:r>
          <w:rPr>
            <w:noProof/>
            <w:webHidden/>
          </w:rPr>
          <w:tab/>
        </w:r>
        <w:r>
          <w:rPr>
            <w:noProof/>
            <w:webHidden/>
          </w:rPr>
          <w:fldChar w:fldCharType="begin"/>
        </w:r>
        <w:r>
          <w:rPr>
            <w:noProof/>
            <w:webHidden/>
          </w:rPr>
          <w:instrText xml:space="preserve"> PAGEREF _Toc86680486 \h </w:instrText>
        </w:r>
        <w:r>
          <w:rPr>
            <w:noProof/>
            <w:webHidden/>
          </w:rPr>
        </w:r>
        <w:r>
          <w:rPr>
            <w:noProof/>
            <w:webHidden/>
          </w:rPr>
          <w:fldChar w:fldCharType="separate"/>
        </w:r>
        <w:r>
          <w:rPr>
            <w:noProof/>
            <w:webHidden/>
          </w:rPr>
          <w:t>53</w:t>
        </w:r>
        <w:r>
          <w:rPr>
            <w:noProof/>
            <w:webHidden/>
          </w:rPr>
          <w:fldChar w:fldCharType="end"/>
        </w:r>
      </w:hyperlink>
    </w:p>
    <w:p w14:paraId="4FD725B8" w14:textId="7CFA82FF" w:rsidR="000C2C5E" w:rsidRDefault="000C2C5E">
      <w:pPr>
        <w:pStyle w:val="TOC1"/>
        <w:rPr>
          <w:noProof/>
          <w:lang w:eastAsia="en-GB"/>
        </w:rPr>
      </w:pPr>
      <w:hyperlink w:anchor="_Toc86680487" w:history="1">
        <w:r w:rsidRPr="00B17B97">
          <w:rPr>
            <w:rStyle w:val="Hyperlink"/>
            <w:noProof/>
          </w:rPr>
          <w:t>6</w:t>
        </w:r>
        <w:r>
          <w:rPr>
            <w:noProof/>
            <w:lang w:eastAsia="en-GB"/>
          </w:rPr>
          <w:tab/>
        </w:r>
        <w:r w:rsidRPr="00B17B97">
          <w:rPr>
            <w:rStyle w:val="Hyperlink"/>
            <w:noProof/>
          </w:rPr>
          <w:t>Consultation Respon</w:t>
        </w:r>
        <w:r w:rsidRPr="00B17B97">
          <w:rPr>
            <w:rStyle w:val="Hyperlink"/>
            <w:noProof/>
          </w:rPr>
          <w:t>s</w:t>
        </w:r>
        <w:r w:rsidRPr="00B17B97">
          <w:rPr>
            <w:rStyle w:val="Hyperlink"/>
            <w:noProof/>
          </w:rPr>
          <w:t>e Form</w:t>
        </w:r>
        <w:r>
          <w:rPr>
            <w:noProof/>
            <w:webHidden/>
          </w:rPr>
          <w:tab/>
        </w:r>
        <w:r>
          <w:rPr>
            <w:noProof/>
            <w:webHidden/>
          </w:rPr>
          <w:fldChar w:fldCharType="begin"/>
        </w:r>
        <w:r>
          <w:rPr>
            <w:noProof/>
            <w:webHidden/>
          </w:rPr>
          <w:instrText xml:space="preserve"> PAGEREF _Toc86680487 \h </w:instrText>
        </w:r>
        <w:r>
          <w:rPr>
            <w:noProof/>
            <w:webHidden/>
          </w:rPr>
        </w:r>
        <w:r>
          <w:rPr>
            <w:noProof/>
            <w:webHidden/>
          </w:rPr>
          <w:fldChar w:fldCharType="separate"/>
        </w:r>
        <w:r>
          <w:rPr>
            <w:noProof/>
            <w:webHidden/>
          </w:rPr>
          <w:t>54</w:t>
        </w:r>
        <w:r>
          <w:rPr>
            <w:noProof/>
            <w:webHidden/>
          </w:rPr>
          <w:fldChar w:fldCharType="end"/>
        </w:r>
      </w:hyperlink>
    </w:p>
    <w:p w14:paraId="67FD454D" w14:textId="0BCED18C" w:rsidR="007625FD" w:rsidRDefault="007625FD" w:rsidP="007625FD">
      <w:pPr>
        <w:jc w:val="both"/>
      </w:pPr>
      <w:r>
        <w:rPr>
          <w:b/>
          <w:bCs/>
          <w:noProof/>
        </w:rPr>
        <w:fldChar w:fldCharType="end"/>
      </w:r>
    </w:p>
    <w:p w14:paraId="7A588D9C" w14:textId="77777777" w:rsidR="007625FD" w:rsidRDefault="007625FD" w:rsidP="007625FD">
      <w:pPr>
        <w:jc w:val="both"/>
        <w:rPr>
          <w:rFonts w:asciiTheme="majorHAnsi" w:eastAsiaTheme="majorEastAsia" w:hAnsiTheme="majorHAnsi" w:cstheme="majorBidi"/>
          <w:color w:val="365F91" w:themeColor="accent1" w:themeShade="BF"/>
          <w:sz w:val="32"/>
          <w:szCs w:val="32"/>
        </w:rPr>
      </w:pPr>
      <w:r>
        <w:br w:type="page"/>
      </w:r>
    </w:p>
    <w:p w14:paraId="323D966E" w14:textId="77777777" w:rsidR="007625FD" w:rsidRPr="002E7343" w:rsidRDefault="007625FD" w:rsidP="007625FD">
      <w:pPr>
        <w:pStyle w:val="Heading1"/>
        <w:spacing w:before="0" w:line="276" w:lineRule="auto"/>
        <w:jc w:val="both"/>
        <w:rPr>
          <w:color w:val="30AEB9"/>
        </w:rPr>
      </w:pPr>
      <w:bookmarkStart w:id="0" w:name="_Toc60651758"/>
      <w:bookmarkStart w:id="1" w:name="_Toc69801991"/>
      <w:bookmarkStart w:id="2" w:name="_Toc517783484"/>
      <w:bookmarkStart w:id="3" w:name="_Toc13087160"/>
      <w:bookmarkStart w:id="4" w:name="_Toc38842415"/>
      <w:bookmarkStart w:id="5" w:name="_Toc86680463"/>
      <w:r>
        <w:rPr>
          <w:color w:val="30AEB9"/>
        </w:rPr>
        <w:lastRenderedPageBreak/>
        <w:t>Executive Summary</w:t>
      </w:r>
      <w:bookmarkEnd w:id="0"/>
      <w:bookmarkEnd w:id="1"/>
      <w:bookmarkEnd w:id="5"/>
      <w:r>
        <w:rPr>
          <w:color w:val="30AEB9"/>
        </w:rPr>
        <w:t xml:space="preserve"> </w:t>
      </w:r>
    </w:p>
    <w:p w14:paraId="7FC0BE11" w14:textId="77777777" w:rsidR="007625FD" w:rsidRPr="0048715D" w:rsidRDefault="007625FD" w:rsidP="007625FD">
      <w:pPr>
        <w:jc w:val="both"/>
      </w:pPr>
      <w:r w:rsidRPr="0048715D">
        <w:t xml:space="preserve">The Association of National Numbering Agencies (“ANNA”) founded the Derivatives Service Bureau (DSB) for the allocation and maintenance of International Securities Identification Numbers (ISINs), Classification of Financial Instrument (CFI) codes and Financial Instrument Short Names (FISNs) for OTC derivatives. </w:t>
      </w:r>
    </w:p>
    <w:p w14:paraId="204896A7" w14:textId="4D1DA26D" w:rsidR="007625FD" w:rsidRPr="0048715D" w:rsidRDefault="007625FD" w:rsidP="007625FD">
      <w:pPr>
        <w:jc w:val="both"/>
      </w:pPr>
      <w:r w:rsidRPr="0048715D">
        <w:t xml:space="preserve">The Financial Stability Board (FSB) announced on May 2, </w:t>
      </w:r>
      <w:r w:rsidR="001F151F" w:rsidRPr="0048715D">
        <w:t>2019,</w:t>
      </w:r>
      <w:r w:rsidRPr="0048715D">
        <w:t xml:space="preserve"> the designation of the DSB as the sole service provider for the future Unique Product Identifier (UPI) system</w:t>
      </w:r>
      <w:r w:rsidRPr="0048715D">
        <w:rPr>
          <w:rStyle w:val="FootnoteReference"/>
        </w:rPr>
        <w:footnoteReference w:id="2"/>
      </w:r>
      <w:r w:rsidRPr="0048715D">
        <w:t xml:space="preserve">, performing the function of issuer of UPIs as well as operator of the UPI reference data library. The DSB is working towards providing UPIs for OTC derivatives in </w:t>
      </w:r>
      <w:r>
        <w:t xml:space="preserve">July </w:t>
      </w:r>
      <w:r w:rsidRPr="0048715D">
        <w:t xml:space="preserve">2022, </w:t>
      </w:r>
      <w:r>
        <w:t xml:space="preserve">to </w:t>
      </w:r>
      <w:r w:rsidRPr="0048715D">
        <w:t xml:space="preserve">help enable </w:t>
      </w:r>
      <w:r>
        <w:t>User</w:t>
      </w:r>
      <w:r w:rsidRPr="0048715D">
        <w:t>s</w:t>
      </w:r>
      <w:r>
        <w:t xml:space="preserve"> </w:t>
      </w:r>
      <w:r w:rsidRPr="0048715D">
        <w:t xml:space="preserve">strengthen risk data aggregation capabilities and internal risk reporting practices and assist regulatory authorities to aggregate data on OTC derivatives transactions to help assess systemic risk as outlined in the 2014 </w:t>
      </w:r>
      <w:hyperlink r:id="rId9" w:history="1">
        <w:r w:rsidRPr="001D6918">
          <w:rPr>
            <w:rStyle w:val="Hyperlink"/>
          </w:rPr>
          <w:t>FSB feasibility study on approaches to aggregate OTC derivatives data</w:t>
        </w:r>
      </w:hyperlink>
      <w:r w:rsidRPr="0048715D">
        <w:rPr>
          <w:rStyle w:val="FootnoteReference"/>
        </w:rPr>
        <w:footnoteReference w:id="3"/>
      </w:r>
      <w:r w:rsidRPr="0048715D">
        <w:t>.</w:t>
      </w:r>
    </w:p>
    <w:p w14:paraId="1BC83D8B" w14:textId="77777777" w:rsidR="007625FD" w:rsidRDefault="007625FD" w:rsidP="007625FD">
      <w:pPr>
        <w:jc w:val="both"/>
      </w:pPr>
      <w:r>
        <w:t xml:space="preserve">In October 2020, the </w:t>
      </w:r>
      <w:hyperlink r:id="rId10" w:history="1">
        <w:r>
          <w:rPr>
            <w:rStyle w:val="Hyperlink"/>
          </w:rPr>
          <w:t>Regulatory Oversight Committee (ROC) expanded its mandate</w:t>
        </w:r>
      </w:hyperlink>
      <w:r>
        <w:rPr>
          <w:rStyle w:val="FootnoteReference"/>
        </w:rPr>
        <w:footnoteReference w:id="4"/>
      </w:r>
      <w:r>
        <w:t xml:space="preserve"> to become the International Governance Body of the UPI system and </w:t>
      </w:r>
      <w:hyperlink r:id="rId11" w:history="1">
        <w:r w:rsidRPr="008F0CC1">
          <w:rPr>
            <w:rStyle w:val="Hyperlink"/>
          </w:rPr>
          <w:t>the FSB transferred to the ROC all governance and oversight responsibilities</w:t>
        </w:r>
      </w:hyperlink>
      <w:r>
        <w:rPr>
          <w:rStyle w:val="FootnoteReference"/>
        </w:rPr>
        <w:footnoteReference w:id="5"/>
      </w:r>
      <w:r>
        <w:t xml:space="preserve"> in relation to the UPI. Since then, the ROC has taken forward the FSB’s work to set up appropriately rigorous oversight arrangements. </w:t>
      </w:r>
    </w:p>
    <w:p w14:paraId="6BEDABCD" w14:textId="727B2BAE" w:rsidR="007625FD" w:rsidRDefault="007625FD" w:rsidP="007625FD">
      <w:pPr>
        <w:jc w:val="both"/>
      </w:pPr>
      <w:r>
        <w:t xml:space="preserve">In August 2021, the DSB announced that the </w:t>
      </w:r>
      <w:r w:rsidRPr="00D94FF0">
        <w:t xml:space="preserve">ROC, and the DSB </w:t>
      </w:r>
      <w:r>
        <w:t xml:space="preserve">had finalised </w:t>
      </w:r>
      <w:r w:rsidRPr="00D94FF0">
        <w:t xml:space="preserve">a Memorandum of Understanding (MOU), on the implementation of governance arrangements for the globally </w:t>
      </w:r>
      <w:proofErr w:type="spellStart"/>
      <w:r w:rsidRPr="00D94FF0">
        <w:t>harmonised</w:t>
      </w:r>
      <w:proofErr w:type="spellEnd"/>
      <w:r w:rsidRPr="00D94FF0">
        <w:t xml:space="preserve"> UPI.</w:t>
      </w:r>
      <w:r>
        <w:t xml:space="preserve"> The DSB, as the designated </w:t>
      </w:r>
      <w:r w:rsidR="00F07F21">
        <w:t>UPI Service</w:t>
      </w:r>
      <w:r>
        <w:t xml:space="preserve"> provider, has worked in close cooperation with the ROC to reach a common understanding of the expected division of responsibilities for overseeing the UPI system. A copy of the </w:t>
      </w:r>
      <w:hyperlink r:id="rId12" w:history="1">
        <w:r w:rsidRPr="00636C93">
          <w:rPr>
            <w:rStyle w:val="Hyperlink"/>
          </w:rPr>
          <w:t>MoU is available on the DSB website</w:t>
        </w:r>
      </w:hyperlink>
      <w:r>
        <w:rPr>
          <w:rStyle w:val="FootnoteReference"/>
        </w:rPr>
        <w:footnoteReference w:id="6"/>
      </w:r>
      <w:r>
        <w:t xml:space="preserve">, and information about the </w:t>
      </w:r>
      <w:hyperlink r:id="rId13" w:history="1">
        <w:r w:rsidRPr="002F7586">
          <w:rPr>
            <w:rStyle w:val="Hyperlink"/>
          </w:rPr>
          <w:t>ROC-DSB Notification Protocol is also available on the DSB website</w:t>
        </w:r>
      </w:hyperlink>
      <w:r>
        <w:rPr>
          <w:rStyle w:val="FootnoteReference"/>
        </w:rPr>
        <w:footnoteReference w:id="7"/>
      </w:r>
      <w:r>
        <w:t>.</w:t>
      </w:r>
    </w:p>
    <w:p w14:paraId="17E4BB0E" w14:textId="2B27232C" w:rsidR="007625FD" w:rsidRDefault="007625FD" w:rsidP="007625FD">
      <w:pPr>
        <w:jc w:val="both"/>
      </w:pPr>
      <w:r>
        <w:t xml:space="preserve">The DSB has sought to design, deploy, and operate an efficient UPI </w:t>
      </w:r>
      <w:r w:rsidR="00F07F21">
        <w:t>Service</w:t>
      </w:r>
      <w:r>
        <w:t xml:space="preserve"> that leverages the capabilities of the existing services (e.g., CFI and OTC ISIN provision) to the extent practicable. Market feedback in the course of the earlier UPI fee model consultations</w:t>
      </w:r>
      <w:r>
        <w:rPr>
          <w:rStyle w:val="FootnoteReference"/>
        </w:rPr>
        <w:footnoteReference w:id="8"/>
      </w:r>
      <w:r>
        <w:t xml:space="preserve"> and via each of the two industry representation groups has determined the target operating model required for the </w:t>
      </w:r>
      <w:r w:rsidR="00F07F21">
        <w:t>UPI Service</w:t>
      </w:r>
      <w:r>
        <w:t xml:space="preserve"> launch, which in turn has had a direct impact on the overall build and operational </w:t>
      </w:r>
      <w:r w:rsidRPr="00273790">
        <w:t>cost</w:t>
      </w:r>
      <w:r>
        <w:t>s</w:t>
      </w:r>
      <w:r w:rsidRPr="00273790">
        <w:t xml:space="preserve"> </w:t>
      </w:r>
      <w:r>
        <w:t xml:space="preserve">of the </w:t>
      </w:r>
      <w:r w:rsidR="00F07F21">
        <w:t>UPI Service</w:t>
      </w:r>
      <w:r>
        <w:t xml:space="preserve">. </w:t>
      </w:r>
    </w:p>
    <w:p w14:paraId="3CE8CAFF" w14:textId="3349E9BA" w:rsidR="007625FD" w:rsidRDefault="007625FD" w:rsidP="007625FD">
      <w:pPr>
        <w:jc w:val="both"/>
      </w:pPr>
      <w:r>
        <w:lastRenderedPageBreak/>
        <w:t xml:space="preserve">This consultation paper therefore focuses on the legal provisions and associated mechanisms to facilitate execution of the legal agreement that will </w:t>
      </w:r>
      <w:r w:rsidR="00DA6F74">
        <w:t xml:space="preserve">enable </w:t>
      </w:r>
      <w:r>
        <w:t xml:space="preserve">access to paid-for </w:t>
      </w:r>
      <w:r w:rsidR="00F07F21">
        <w:t>UPI Service</w:t>
      </w:r>
      <w:r>
        <w:t>s</w:t>
      </w:r>
      <w:r>
        <w:rPr>
          <w:rStyle w:val="FootnoteReference"/>
        </w:rPr>
        <w:footnoteReference w:id="9"/>
      </w:r>
      <w:r>
        <w:t xml:space="preserve">. Proposals in this </w:t>
      </w:r>
      <w:r w:rsidR="00444538">
        <w:t xml:space="preserve">paper </w:t>
      </w:r>
      <w:r>
        <w:t>are expected to impact:</w:t>
      </w:r>
    </w:p>
    <w:p w14:paraId="49C07A58" w14:textId="77777777" w:rsidR="007625FD" w:rsidRPr="005D38BE" w:rsidRDefault="007625FD" w:rsidP="007625FD">
      <w:pPr>
        <w:pStyle w:val="ListParagraph"/>
        <w:numPr>
          <w:ilvl w:val="0"/>
          <w:numId w:val="11"/>
        </w:numPr>
        <w:autoSpaceDE/>
        <w:autoSpaceDN/>
        <w:adjustRightInd/>
        <w:spacing w:before="0" w:after="120" w:line="276" w:lineRule="auto"/>
        <w:ind w:left="714" w:right="0" w:hanging="357"/>
        <w:jc w:val="both"/>
        <w:rPr>
          <w:sz w:val="22"/>
          <w:szCs w:val="22"/>
        </w:rPr>
      </w:pPr>
      <w:r w:rsidRPr="005D38BE">
        <w:rPr>
          <w:sz w:val="22"/>
          <w:szCs w:val="22"/>
        </w:rPr>
        <w:t xml:space="preserve">Users of the UPI only service – who will be new to the DSB </w:t>
      </w:r>
    </w:p>
    <w:p w14:paraId="78225669" w14:textId="52074938" w:rsidR="007625FD" w:rsidRPr="005D38BE" w:rsidRDefault="007625FD" w:rsidP="007625FD">
      <w:pPr>
        <w:pStyle w:val="ListParagraph"/>
        <w:numPr>
          <w:ilvl w:val="0"/>
          <w:numId w:val="11"/>
        </w:numPr>
        <w:autoSpaceDE/>
        <w:autoSpaceDN/>
        <w:adjustRightInd/>
        <w:spacing w:before="0" w:after="120" w:line="276" w:lineRule="auto"/>
        <w:ind w:left="714" w:right="0" w:hanging="357"/>
        <w:jc w:val="both"/>
        <w:rPr>
          <w:sz w:val="22"/>
          <w:szCs w:val="22"/>
        </w:rPr>
      </w:pPr>
      <w:r w:rsidRPr="005D38BE">
        <w:rPr>
          <w:sz w:val="22"/>
          <w:szCs w:val="22"/>
        </w:rPr>
        <w:t xml:space="preserve">Users of the combined UPI + OTC </w:t>
      </w:r>
      <w:r w:rsidR="00F07F21">
        <w:rPr>
          <w:sz w:val="22"/>
          <w:szCs w:val="22"/>
        </w:rPr>
        <w:t>ISIN Service</w:t>
      </w:r>
      <w:r w:rsidRPr="005D38BE">
        <w:rPr>
          <w:sz w:val="22"/>
          <w:szCs w:val="22"/>
        </w:rPr>
        <w:t xml:space="preserve"> – who will be familiar with the DSB’s existing legal agreement (Access and Usage Agreement and accompanying policies for the OTC </w:t>
      </w:r>
      <w:r w:rsidR="00F07F21">
        <w:rPr>
          <w:sz w:val="22"/>
          <w:szCs w:val="22"/>
        </w:rPr>
        <w:t>ISIN Service</w:t>
      </w:r>
      <w:r w:rsidRPr="005D38BE">
        <w:rPr>
          <w:sz w:val="22"/>
          <w:szCs w:val="22"/>
        </w:rPr>
        <w:t xml:space="preserve">) and may incur some evolution of legal provisions to facilitate access to both services (subject to industry feedback in response to this consultation paper) </w:t>
      </w:r>
    </w:p>
    <w:p w14:paraId="5859EF2E" w14:textId="748B2633" w:rsidR="007625FD" w:rsidRPr="005D38BE" w:rsidRDefault="007625FD" w:rsidP="007625FD">
      <w:pPr>
        <w:pStyle w:val="ListParagraph"/>
        <w:numPr>
          <w:ilvl w:val="0"/>
          <w:numId w:val="11"/>
        </w:numPr>
        <w:autoSpaceDE/>
        <w:autoSpaceDN/>
        <w:adjustRightInd/>
        <w:spacing w:before="0" w:after="160" w:line="276" w:lineRule="auto"/>
        <w:ind w:right="0"/>
        <w:contextualSpacing/>
        <w:jc w:val="both"/>
        <w:rPr>
          <w:sz w:val="22"/>
          <w:szCs w:val="22"/>
        </w:rPr>
      </w:pPr>
      <w:r w:rsidRPr="005D38BE">
        <w:rPr>
          <w:sz w:val="22"/>
          <w:szCs w:val="22"/>
        </w:rPr>
        <w:t xml:space="preserve">Users of the OTC ISIN only service – who will be familiar with the DSB’s existing legal agreement (Access and Usage Agreement and accompanying policies) and are likely to experience more limited changes to legal provisions associated with launch of the </w:t>
      </w:r>
      <w:r w:rsidR="00F07F21">
        <w:rPr>
          <w:sz w:val="22"/>
          <w:szCs w:val="22"/>
        </w:rPr>
        <w:t>UPI Service</w:t>
      </w:r>
      <w:r w:rsidRPr="005D38BE">
        <w:rPr>
          <w:sz w:val="22"/>
          <w:szCs w:val="22"/>
        </w:rPr>
        <w:t xml:space="preserve"> (subject to industry feedback in response to this consultation paper)</w:t>
      </w:r>
      <w:r w:rsidRPr="005D38BE">
        <w:rPr>
          <w:rStyle w:val="FootnoteReference"/>
          <w:sz w:val="22"/>
          <w:szCs w:val="22"/>
        </w:rPr>
        <w:footnoteReference w:id="10"/>
      </w:r>
      <w:r w:rsidRPr="005D38BE">
        <w:rPr>
          <w:sz w:val="22"/>
          <w:szCs w:val="22"/>
        </w:rPr>
        <w:t xml:space="preserve"> </w:t>
      </w:r>
    </w:p>
    <w:p w14:paraId="0D39AD6D" w14:textId="3796D91E" w:rsidR="007625FD" w:rsidRPr="0048715D" w:rsidRDefault="007625FD" w:rsidP="007625FD">
      <w:pPr>
        <w:jc w:val="both"/>
      </w:pPr>
      <w:r>
        <w:t xml:space="preserve">As some readers may be less familiar with information about the </w:t>
      </w:r>
      <w:r w:rsidR="00F07F21">
        <w:t>UPI Service</w:t>
      </w:r>
      <w:r>
        <w:t>, this consultation paper seeks to provide a reminder of UPI g</w:t>
      </w:r>
      <w:r w:rsidRPr="0048715D">
        <w:t xml:space="preserve">overnance </w:t>
      </w:r>
      <w:r>
        <w:t>arrangements and the UPI purp</w:t>
      </w:r>
      <w:r w:rsidRPr="00906380">
        <w:t xml:space="preserve">ose </w:t>
      </w:r>
      <w:r w:rsidRPr="00975150">
        <w:t xml:space="preserve">in </w:t>
      </w:r>
      <w:r w:rsidRPr="00975150" w:rsidDel="003F18DE">
        <w:t>s</w:t>
      </w:r>
      <w:r w:rsidRPr="00975150">
        <w:t xml:space="preserve">ections </w:t>
      </w:r>
      <w:r w:rsidRPr="00975150">
        <w:fldChar w:fldCharType="begin"/>
      </w:r>
      <w:r w:rsidRPr="00975150">
        <w:instrText xml:space="preserve"> REF _Ref81936111 \r \h  \* MERGEFORMAT </w:instrText>
      </w:r>
      <w:r w:rsidRPr="00975150">
        <w:fldChar w:fldCharType="separate"/>
      </w:r>
      <w:r w:rsidRPr="00975150">
        <w:t>2</w:t>
      </w:r>
      <w:r w:rsidRPr="00975150">
        <w:fldChar w:fldCharType="end"/>
      </w:r>
      <w:r w:rsidRPr="00975150">
        <w:t xml:space="preserve"> and </w:t>
      </w:r>
      <w:r w:rsidRPr="00975150">
        <w:fldChar w:fldCharType="begin"/>
      </w:r>
      <w:r w:rsidRPr="00975150">
        <w:instrText xml:space="preserve"> REF _Ref81489469 \r \h  \* MERGEFORMAT </w:instrText>
      </w:r>
      <w:r w:rsidRPr="00975150">
        <w:fldChar w:fldCharType="separate"/>
      </w:r>
      <w:r w:rsidRPr="00975150">
        <w:t>3</w:t>
      </w:r>
      <w:r w:rsidRPr="00975150">
        <w:fldChar w:fldCharType="end"/>
      </w:r>
      <w:r w:rsidRPr="00975150">
        <w:t>. In summary, the key governance criteria were specified by the FSB and are outlined in the</w:t>
      </w:r>
      <w:r>
        <w:t xml:space="preserve"> </w:t>
      </w:r>
      <w:hyperlink r:id="rId14" w:history="1">
        <w:r w:rsidRPr="000C31C5">
          <w:rPr>
            <w:rStyle w:val="Hyperlink"/>
          </w:rPr>
          <w:t>FSB Governance arrangements for the UPI</w:t>
        </w:r>
      </w:hyperlink>
      <w:r>
        <w:rPr>
          <w:rStyle w:val="FootnoteReference"/>
        </w:rPr>
        <w:footnoteReference w:id="11"/>
      </w:r>
      <w:r>
        <w:t xml:space="preserve">. The governance criteria have been referenced within this paper where related to the principles underpinning the </w:t>
      </w:r>
      <w:r w:rsidR="00F07F21">
        <w:t>UPI Service</w:t>
      </w:r>
      <w:r>
        <w:t>, and note that governance arrangements should be in the public interest, lean, c</w:t>
      </w:r>
      <w:r w:rsidRPr="00342541">
        <w:t>hange only as needed</w:t>
      </w:r>
      <w:r>
        <w:t>, include a c</w:t>
      </w:r>
      <w:r w:rsidRPr="00600863">
        <w:t>onsultative change process</w:t>
      </w:r>
      <w:r>
        <w:t xml:space="preserve">, </w:t>
      </w:r>
      <w:r w:rsidRPr="00E70460">
        <w:t>ensure the economic sustainability of the UPI System over time</w:t>
      </w:r>
      <w:r>
        <w:t xml:space="preserve">, ensure open access, target fair cost allocation to stakeholders, ensure that the UPI standard and </w:t>
      </w:r>
      <w:r w:rsidRPr="00E65F06">
        <w:t>the use of any UPI Code should be free of licensing restrictions</w:t>
      </w:r>
      <w:r>
        <w:t xml:space="preserve">, have policies that </w:t>
      </w:r>
      <w:r w:rsidRPr="00E503D2">
        <w:t>reasonably detect and effectively manage any potential conflict of interest</w:t>
      </w:r>
      <w:r>
        <w:t>, be fit for purpose, take into c</w:t>
      </w:r>
      <w:r w:rsidRPr="008D543F">
        <w:t xml:space="preserve">onsideration other </w:t>
      </w:r>
      <w:r>
        <w:t>g</w:t>
      </w:r>
      <w:r w:rsidRPr="008D543F">
        <w:t xml:space="preserve">overnance </w:t>
      </w:r>
      <w:r>
        <w:t>f</w:t>
      </w:r>
      <w:r w:rsidRPr="008D543F">
        <w:t>rameworks</w:t>
      </w:r>
      <w:r>
        <w:t>, and ensure the o</w:t>
      </w:r>
      <w:r w:rsidRPr="009164C6">
        <w:t>perational viability and continuity of UPI Service Provider operations</w:t>
      </w:r>
      <w:r>
        <w:t xml:space="preserve">. </w:t>
      </w:r>
    </w:p>
    <w:p w14:paraId="78BEEFC8" w14:textId="77777777" w:rsidR="007625FD" w:rsidRDefault="007625FD" w:rsidP="007625FD">
      <w:pPr>
        <w:spacing w:after="120"/>
        <w:jc w:val="both"/>
      </w:pPr>
      <w:bookmarkStart w:id="6" w:name="_Toc38982534"/>
      <w:bookmarkStart w:id="7" w:name="_Toc38982616"/>
      <w:bookmarkStart w:id="8" w:name="_Toc38982874"/>
      <w:bookmarkStart w:id="9" w:name="_Toc38982993"/>
      <w:bookmarkStart w:id="10" w:name="_Toc38983075"/>
      <w:bookmarkStart w:id="11" w:name="_Toc38983158"/>
      <w:bookmarkStart w:id="12" w:name="_Toc38983564"/>
      <w:bookmarkStart w:id="13" w:name="_Toc39061479"/>
      <w:bookmarkStart w:id="14" w:name="_Toc38982536"/>
      <w:bookmarkStart w:id="15" w:name="_Toc38982618"/>
      <w:bookmarkStart w:id="16" w:name="_Toc38982876"/>
      <w:bookmarkStart w:id="17" w:name="_Toc38982995"/>
      <w:bookmarkStart w:id="18" w:name="_Toc38983077"/>
      <w:bookmarkStart w:id="19" w:name="_Toc38983160"/>
      <w:bookmarkStart w:id="20" w:name="_Toc38983566"/>
      <w:bookmarkStart w:id="21" w:name="_Toc39061481"/>
      <w:bookmarkStart w:id="22" w:name="_Toc60651766"/>
      <w:bookmarkStart w:id="23" w:name="_Ref68600483"/>
      <w:bookmarkStart w:id="24" w:name="_Toc69801992"/>
      <w:bookmarkStart w:id="25" w:name="_Toc38842403"/>
      <w:bookmarkStart w:id="26" w:name="_Ref57896767"/>
      <w:bookmarkStart w:id="27" w:name="_Ref60649071"/>
      <w:bookmarkStart w:id="28" w:name="_Toc60651776"/>
      <w:bookmarkStart w:id="29" w:name="_Toc13087127"/>
      <w:bookmarkStart w:id="30" w:name="_Toc51778347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t>It should also be noted that following two rounds of industry consultation, the DSB is proceeding on the basis that it will le</w:t>
      </w:r>
      <w:r w:rsidRPr="008F369E">
        <w:t>verag</w:t>
      </w:r>
      <w:r>
        <w:t xml:space="preserve">e core components of </w:t>
      </w:r>
      <w:r w:rsidRPr="008F369E">
        <w:t xml:space="preserve">the DSB’s </w:t>
      </w:r>
      <w:r>
        <w:t xml:space="preserve">OTC ISIN </w:t>
      </w:r>
      <w:r w:rsidRPr="008F369E">
        <w:t>existing service to reduc</w:t>
      </w:r>
      <w:r>
        <w:t xml:space="preserve">e both </w:t>
      </w:r>
      <w:r w:rsidRPr="008F369E">
        <w:t xml:space="preserve">the UPI </w:t>
      </w:r>
      <w:r>
        <w:t>User</w:t>
      </w:r>
      <w:r w:rsidRPr="008F369E">
        <w:t xml:space="preserve"> fee burden by minimizing implementation and run costs for the DSB, and </w:t>
      </w:r>
      <w:r>
        <w:t>minimize User</w:t>
      </w:r>
      <w:r w:rsidRPr="008F369E">
        <w:t xml:space="preserve">’s own technology burden so </w:t>
      </w:r>
      <w:r>
        <w:t>i</w:t>
      </w:r>
      <w:r w:rsidRPr="008F369E">
        <w:t>nstitutions already connected to the DSB can overlay their UPI related workflows in a manner that is more integrated with their other OTC derivative reference data needs.</w:t>
      </w:r>
    </w:p>
    <w:p w14:paraId="5001CCE8" w14:textId="070A3D16" w:rsidR="007625FD" w:rsidRDefault="007625FD" w:rsidP="007625FD">
      <w:pPr>
        <w:jc w:val="both"/>
      </w:pPr>
      <w:r>
        <w:t xml:space="preserve">The consultation paper will be shared with approximately 2,600 individuals (including at trade associations) as well as widely circulated in the trade press. In keeping with standard DSB practice, the DSB will send reminders to interested parties outlining the goal of the consultation and the deadline for responses. At the end of the UPI legal consultation period, the DSB will publish </w:t>
      </w:r>
      <w:r w:rsidRPr="008E27D4">
        <w:t>all responses</w:t>
      </w:r>
      <w:r>
        <w:t xml:space="preserve"> </w:t>
      </w:r>
      <w:r w:rsidRPr="008E27D4">
        <w:t>received on its website, as is standard practice for all DSB</w:t>
      </w:r>
      <w:r>
        <w:t xml:space="preserve"> industry</w:t>
      </w:r>
      <w:r w:rsidRPr="008E27D4">
        <w:t xml:space="preserve"> consultations</w:t>
      </w:r>
      <w:r>
        <w:t xml:space="preserve"> – with respondents able to indicate </w:t>
      </w:r>
      <w:r>
        <w:lastRenderedPageBreak/>
        <w:t xml:space="preserve">in the response form if they wish their submission to </w:t>
      </w:r>
      <w:r w:rsidR="004324BE">
        <w:t xml:space="preserve">remain </w:t>
      </w:r>
      <w:r w:rsidR="00140D65">
        <w:t>anonymous</w:t>
      </w:r>
      <w:r>
        <w:t xml:space="preserve"> when placed on the DSB’s website</w:t>
      </w:r>
      <w:r w:rsidRPr="008E27D4">
        <w:t xml:space="preserve">.  </w:t>
      </w:r>
    </w:p>
    <w:p w14:paraId="701EC6DB" w14:textId="77777777" w:rsidR="007625FD" w:rsidRDefault="007625FD" w:rsidP="007625FD">
      <w:pPr>
        <w:jc w:val="both"/>
      </w:pPr>
      <w:r>
        <w:t xml:space="preserve">Readers seeking to remain abreast of DSB notifications on the topic of the UPI, or other matters, can </w:t>
      </w:r>
      <w:hyperlink r:id="rId15" w:history="1">
        <w:r w:rsidRPr="00E353E9">
          <w:rPr>
            <w:rStyle w:val="Hyperlink"/>
          </w:rPr>
          <w:t>subscribe by clicking here</w:t>
        </w:r>
      </w:hyperlink>
      <w:r>
        <w:t>, via the DSB website</w:t>
      </w:r>
      <w:r>
        <w:rPr>
          <w:rStyle w:val="FootnoteReference"/>
        </w:rPr>
        <w:footnoteReference w:id="12"/>
      </w:r>
      <w:r>
        <w:t xml:space="preserve"> or by emailing </w:t>
      </w:r>
      <w:hyperlink r:id="rId16" w:history="1">
        <w:r w:rsidRPr="00641F5F">
          <w:rPr>
            <w:rStyle w:val="Hyperlink"/>
          </w:rPr>
          <w:t>otc.data@anna-dsb.com</w:t>
        </w:r>
      </w:hyperlink>
      <w:r>
        <w:t>. Readers can also visit the UPI section of the DSB’ website</w:t>
      </w:r>
      <w:r>
        <w:rPr>
          <w:rStyle w:val="FootnoteReference"/>
        </w:rPr>
        <w:footnoteReference w:id="13"/>
      </w:r>
      <w:r>
        <w:t xml:space="preserve"> to access the most up to date FAQs, information about timelines, and other relevant items. </w:t>
      </w:r>
    </w:p>
    <w:p w14:paraId="67BFB2F2" w14:textId="77777777" w:rsidR="007625FD" w:rsidRDefault="007625FD" w:rsidP="007625FD">
      <w:pPr>
        <w:jc w:val="both"/>
        <w:rPr>
          <w:rFonts w:asciiTheme="majorHAnsi" w:eastAsiaTheme="majorEastAsia" w:hAnsiTheme="majorHAnsi" w:cstheme="majorBidi"/>
          <w:color w:val="30AEB9"/>
          <w:sz w:val="32"/>
          <w:szCs w:val="32"/>
          <w:lang w:val="en-GB"/>
        </w:rPr>
      </w:pPr>
    </w:p>
    <w:p w14:paraId="4040E3A0" w14:textId="77777777" w:rsidR="007625FD" w:rsidRDefault="007625FD" w:rsidP="007625FD">
      <w:pPr>
        <w:pStyle w:val="Heading1"/>
        <w:spacing w:before="0" w:line="276" w:lineRule="auto"/>
        <w:jc w:val="both"/>
        <w:rPr>
          <w:color w:val="30AEB9"/>
        </w:rPr>
      </w:pPr>
      <w:bookmarkStart w:id="31" w:name="_Ref81936111"/>
      <w:bookmarkStart w:id="32" w:name="_Toc86680464"/>
      <w:r w:rsidRPr="003F18D1">
        <w:rPr>
          <w:color w:val="30AEB9"/>
        </w:rPr>
        <w:t>UPI Overview</w:t>
      </w:r>
      <w:bookmarkEnd w:id="31"/>
      <w:bookmarkEnd w:id="32"/>
    </w:p>
    <w:p w14:paraId="146958AE" w14:textId="77777777" w:rsidR="007625FD" w:rsidRPr="0044190D" w:rsidRDefault="007625FD" w:rsidP="007625FD">
      <w:pPr>
        <w:jc w:val="both"/>
      </w:pPr>
      <w:r w:rsidRPr="003F5F8A">
        <w:t xml:space="preserve">Group of 20 national leaders (G20) agreed at the 2009 Pittsburgh Summit that all OTC derivatives transactions should be reported to trade repositories (TRs) as part of a package of reforms to the OTC derivatives markets. The key driver for establishing the UPI, </w:t>
      </w:r>
      <w:hyperlink r:id="rId17" w:history="1">
        <w:r w:rsidRPr="003F5F8A">
          <w:rPr>
            <w:rStyle w:val="Hyperlink"/>
          </w:rPr>
          <w:t>ISO/WD 4914</w:t>
        </w:r>
      </w:hyperlink>
      <w:r w:rsidRPr="003F5F8A">
        <w:rPr>
          <w:rStyle w:val="FootnoteReference"/>
        </w:rPr>
        <w:footnoteReference w:id="14"/>
      </w:r>
      <w:r w:rsidRPr="003F5F8A">
        <w:t xml:space="preserve"> – which is under development, Unique Transaction Identifiers (UTI), </w:t>
      </w:r>
      <w:hyperlink r:id="rId18" w:history="1">
        <w:r w:rsidRPr="003F5F8A">
          <w:rPr>
            <w:rStyle w:val="Hyperlink"/>
          </w:rPr>
          <w:t>ISO 23897</w:t>
        </w:r>
      </w:hyperlink>
      <w:r w:rsidRPr="003F5F8A">
        <w:rPr>
          <w:rStyle w:val="FootnoteReference"/>
        </w:rPr>
        <w:footnoteReference w:id="15"/>
      </w:r>
      <w:r w:rsidRPr="003F5F8A">
        <w:t xml:space="preserve">, Critical Data Elements (CDE) which will be included in </w:t>
      </w:r>
      <w:hyperlink r:id="rId19" w:history="1">
        <w:r w:rsidRPr="003F5F8A">
          <w:rPr>
            <w:rStyle w:val="Hyperlink"/>
          </w:rPr>
          <w:t>ISO 20022</w:t>
        </w:r>
      </w:hyperlink>
      <w:r w:rsidRPr="003F5F8A">
        <w:rPr>
          <w:rStyle w:val="FootnoteReference"/>
        </w:rPr>
        <w:footnoteReference w:id="16"/>
      </w:r>
      <w:r w:rsidRPr="003F5F8A">
        <w:t xml:space="preserve">, and Legal Entity Identifier (LEI), </w:t>
      </w:r>
      <w:hyperlink r:id="rId20" w:history="1">
        <w:r w:rsidRPr="003F5F8A">
          <w:rPr>
            <w:rStyle w:val="Hyperlink"/>
          </w:rPr>
          <w:t>ISO 17442</w:t>
        </w:r>
      </w:hyperlink>
      <w:r w:rsidRPr="003F5F8A">
        <w:rPr>
          <w:rStyle w:val="FootnoteReference"/>
        </w:rPr>
        <w:footnoteReference w:id="17"/>
      </w:r>
      <w:r w:rsidRPr="003F5F8A">
        <w:t>, was to increase transparency in financial markets, mitigate systemic risk, and protect against market abuse following the financial crisis that</w:t>
      </w:r>
      <w:r w:rsidRPr="009F5C43">
        <w:t xml:space="preserve"> began in 2007–08. The development of standards for these data elements was in response to a request from the G20 to achieve these objectives. </w:t>
      </w:r>
    </w:p>
    <w:p w14:paraId="287BBFBD" w14:textId="6BA4BA6E" w:rsidR="007625FD" w:rsidRPr="0044190D" w:rsidRDefault="007625FD" w:rsidP="007625FD">
      <w:pPr>
        <w:jc w:val="both"/>
      </w:pPr>
      <w:r w:rsidRPr="0044190D">
        <w:t>The Committee on Payments and Market Infrastructures (CPMI) and the International Organization of Securities Commissions (IOSCO) published their finalised UPI technical guidance</w:t>
      </w:r>
      <w:r w:rsidRPr="003F5F8A">
        <w:rPr>
          <w:rStyle w:val="FootnoteReference"/>
        </w:rPr>
        <w:footnoteReference w:id="18"/>
      </w:r>
      <w:r w:rsidRPr="003F5F8A">
        <w:t xml:space="preserve"> in September 2017. Under the guidance, a unique UPI code would be assigned to each distinct OTC derivatives product and be mapped to reference data elements with specific values that descri</w:t>
      </w:r>
      <w:r w:rsidRPr="009F5C43">
        <w:t xml:space="preserve">be the product. The collection of reference data elements and their values for each </w:t>
      </w:r>
      <w:r w:rsidRPr="0044190D">
        <w:t xml:space="preserve">product would reside in a UPI reference data library administered by the </w:t>
      </w:r>
      <w:r w:rsidR="00F07F21">
        <w:t>UPI Service</w:t>
      </w:r>
      <w:r w:rsidRPr="0044190D">
        <w:t xml:space="preserve"> provider. </w:t>
      </w:r>
    </w:p>
    <w:p w14:paraId="2E7775CD" w14:textId="77777777" w:rsidR="007625FD" w:rsidRPr="0044190D" w:rsidRDefault="007625FD" w:rsidP="007625FD">
      <w:pPr>
        <w:jc w:val="both"/>
      </w:pPr>
      <w:r w:rsidRPr="0044190D">
        <w:t xml:space="preserve">UPIs are being introduced as a mechanism to identify OTC derivatives products to strengthen banks' risk data aggregation capabilities and internal risk reporting practices and assist G20 regulators to aggregate global OTC derivatives data by either product or UPI reference data element, together with the CDE and UTI. This will provide </w:t>
      </w:r>
      <w:r>
        <w:t>User</w:t>
      </w:r>
      <w:r w:rsidRPr="0044190D">
        <w:t>s, such as banks, with their risk analys</w:t>
      </w:r>
      <w:r>
        <w:t>i</w:t>
      </w:r>
      <w:r w:rsidRPr="0044190D">
        <w:t xml:space="preserve">s and assist regulators with an improved, consistent view and common understanding of systemic OTC derivative risks. </w:t>
      </w:r>
    </w:p>
    <w:p w14:paraId="37EEFF88" w14:textId="77777777" w:rsidR="007625FD" w:rsidRPr="0044190D" w:rsidRDefault="007625FD" w:rsidP="007625FD">
      <w:pPr>
        <w:jc w:val="both"/>
      </w:pPr>
      <w:r w:rsidRPr="0044190D">
        <w:t xml:space="preserve">In the first instance, the role of the UPI is to uniquely identify the product involved in an OTC derivatives transaction and to identify the product in reports that an authority requires, or may require in the future, </w:t>
      </w:r>
      <w:r w:rsidRPr="0044190D">
        <w:lastRenderedPageBreak/>
        <w:t xml:space="preserve">to be reported to a TR. The UPI will work in conjunction with UTIs and CDEs, which are also expected to be reportable to regulatory authorities. </w:t>
      </w:r>
    </w:p>
    <w:p w14:paraId="66CDD7E0" w14:textId="77777777" w:rsidR="007625FD" w:rsidRPr="003F5F8A" w:rsidRDefault="007625FD" w:rsidP="007625FD">
      <w:pPr>
        <w:jc w:val="both"/>
      </w:pPr>
      <w:r w:rsidRPr="0044190D">
        <w:t xml:space="preserve">Working alongside the UPI and CDE, the UTI is intended to uniquely identify individual OTC derivatives transactions and when required by authorities to be reported to TRs. The UTI will enable aggregation and analysis of these transactions by </w:t>
      </w:r>
      <w:r>
        <w:t>User</w:t>
      </w:r>
      <w:r w:rsidRPr="0044190D">
        <w:t>s, such as banks, and so authorities can use reported information to fulfil their legal obligations and prudential requirements. Further details about the UTI can be found in the UTI technical guidance document</w:t>
      </w:r>
      <w:r w:rsidRPr="003F5F8A">
        <w:rPr>
          <w:rStyle w:val="FootnoteReference"/>
        </w:rPr>
        <w:footnoteReference w:id="19"/>
      </w:r>
      <w:r w:rsidRPr="003F5F8A">
        <w:t xml:space="preserve"> published in February 2017. </w:t>
      </w:r>
    </w:p>
    <w:p w14:paraId="01DF938E" w14:textId="77777777" w:rsidR="007625FD" w:rsidRPr="0044190D" w:rsidRDefault="007625FD" w:rsidP="007625FD">
      <w:pPr>
        <w:jc w:val="both"/>
      </w:pPr>
      <w:r w:rsidRPr="009F5C43">
        <w:t>CPM</w:t>
      </w:r>
      <w:r w:rsidRPr="0044190D">
        <w:t>I and IOSCO also published a guidance document on the harmonisation of critical OTC derivatives data elements other than those in the UPI and UTI. The CDE technical guidance document</w:t>
      </w:r>
      <w:r w:rsidRPr="003F5F8A">
        <w:rPr>
          <w:rStyle w:val="FootnoteReference"/>
        </w:rPr>
        <w:footnoteReference w:id="20"/>
      </w:r>
      <w:r w:rsidRPr="003F5F8A">
        <w:t xml:space="preserve">, published in April 2018, provides information about the definition, </w:t>
      </w:r>
      <w:proofErr w:type="gramStart"/>
      <w:r w:rsidRPr="003F5F8A">
        <w:t>form</w:t>
      </w:r>
      <w:r w:rsidRPr="009F5C43">
        <w:t>at</w:t>
      </w:r>
      <w:proofErr w:type="gramEnd"/>
      <w:r w:rsidRPr="009F5C43">
        <w:t xml:space="preserve"> and allowable values of CDE</w:t>
      </w:r>
      <w:r w:rsidRPr="0044190D">
        <w:t xml:space="preserve">s, other than UTI and UPI, reported to TRs that are important to facilitate consistent global aggregation by authorities. </w:t>
      </w:r>
    </w:p>
    <w:p w14:paraId="376A2999" w14:textId="5D355993" w:rsidR="007625FD" w:rsidRDefault="007625FD" w:rsidP="007625FD">
      <w:pPr>
        <w:spacing w:after="360"/>
        <w:jc w:val="both"/>
      </w:pPr>
      <w:r w:rsidRPr="0044190D">
        <w:t xml:space="preserve">Although the UPI has been developed with this core purpose, it is recognised the UPI could also serve other purposes, such as other forms of regulatory reporting and market transparency specific to particular jurisdictions or pre- and post-trade processes, with primary use of the UPI contemplated for strengthening banks' risk aggregation capabilities and practices and for the reporting of OTC derivatives transactions to a TR or for regulatory use. It is anticipated that broader use cases for the UPI system – especially in relation to internal business functions – could increase its adoption and usefulness. </w:t>
      </w:r>
    </w:p>
    <w:p w14:paraId="7ECAADC4" w14:textId="77777777" w:rsidR="007625FD" w:rsidRPr="003F18D1" w:rsidRDefault="007625FD" w:rsidP="007625FD">
      <w:pPr>
        <w:pStyle w:val="Heading1"/>
        <w:spacing w:before="0" w:line="276" w:lineRule="auto"/>
        <w:jc w:val="both"/>
        <w:rPr>
          <w:color w:val="30AEB9"/>
        </w:rPr>
      </w:pPr>
      <w:bookmarkStart w:id="33" w:name="_Ref81489469"/>
      <w:bookmarkStart w:id="34" w:name="_Toc86680465"/>
      <w:r>
        <w:rPr>
          <w:color w:val="30AEB9"/>
        </w:rPr>
        <w:t xml:space="preserve">UPI </w:t>
      </w:r>
      <w:r w:rsidRPr="003F18D1">
        <w:rPr>
          <w:color w:val="30AEB9"/>
        </w:rPr>
        <w:t>Governance Arrangements</w:t>
      </w:r>
      <w:bookmarkEnd w:id="33"/>
      <w:bookmarkEnd w:id="34"/>
      <w:r w:rsidRPr="003F18D1">
        <w:rPr>
          <w:color w:val="30AEB9"/>
        </w:rPr>
        <w:t xml:space="preserve">  </w:t>
      </w:r>
    </w:p>
    <w:p w14:paraId="40793A94" w14:textId="77777777" w:rsidR="007625FD" w:rsidRPr="004D493C" w:rsidRDefault="007625FD" w:rsidP="007625FD">
      <w:pPr>
        <w:pStyle w:val="Heading2"/>
        <w:spacing w:line="276" w:lineRule="auto"/>
      </w:pPr>
      <w:bookmarkStart w:id="35" w:name="_Toc86680466"/>
      <w:r>
        <w:t>Governance Components</w:t>
      </w:r>
      <w:bookmarkEnd w:id="35"/>
    </w:p>
    <w:p w14:paraId="05C91BB5" w14:textId="77777777" w:rsidR="007625FD" w:rsidRPr="0048715D" w:rsidRDefault="007625FD" w:rsidP="007625FD">
      <w:pPr>
        <w:jc w:val="both"/>
        <w:rPr>
          <w:rFonts w:cstheme="minorHAnsi"/>
        </w:rPr>
      </w:pPr>
      <w:r w:rsidRPr="0048715D">
        <w:rPr>
          <w:rFonts w:cstheme="minorHAnsi"/>
        </w:rPr>
        <w:t>The FSB, an international body that monitors and makes recommendations about the global financial system, has been responsible for defining the governance arrangements for the UPI. To that end, the FSB designated the DSB as the sole service provider for the future UPI system. The term ‘UPI system’ refers to the UPI code, the UPI reference data library, and the process of assigning a UPI to a set of reference data elements</w:t>
      </w:r>
      <w:r w:rsidRPr="0048715D" w:rsidDel="00682648">
        <w:rPr>
          <w:rFonts w:cstheme="minorHAnsi"/>
        </w:rPr>
        <w:t>.</w:t>
      </w:r>
      <w:r w:rsidDel="00263331">
        <w:rPr>
          <w:rFonts w:cstheme="minorHAnsi"/>
        </w:rPr>
        <w:t xml:space="preserve"> </w:t>
      </w:r>
      <w:r w:rsidRPr="0048715D">
        <w:rPr>
          <w:rFonts w:cstheme="minorHAnsi"/>
        </w:rPr>
        <w:t xml:space="preserve">Accordingly, the DSB will perform the functions of issuance of UPI and maintenance of their associated reference data consistent with the CPMI-IOSCO UPI technical guidance. This is a key step in completing the governance framework for the UPI. </w:t>
      </w:r>
    </w:p>
    <w:p w14:paraId="0F389D5D" w14:textId="77777777" w:rsidR="007625FD" w:rsidRPr="0048715D" w:rsidRDefault="007625FD" w:rsidP="007625FD">
      <w:pPr>
        <w:jc w:val="both"/>
        <w:rPr>
          <w:rFonts w:cstheme="minorHAnsi"/>
        </w:rPr>
      </w:pPr>
      <w:r w:rsidRPr="0048715D">
        <w:rPr>
          <w:rFonts w:cstheme="minorHAnsi"/>
        </w:rPr>
        <w:t>In October 2019, the FSB published the Governance arrangements for the UPI</w:t>
      </w:r>
      <w:r w:rsidRPr="0048715D">
        <w:rPr>
          <w:rStyle w:val="FootnoteReference"/>
          <w:rFonts w:cstheme="minorHAnsi"/>
        </w:rPr>
        <w:footnoteReference w:id="21"/>
      </w:r>
      <w:r w:rsidRPr="0048715D">
        <w:rPr>
          <w:rFonts w:cstheme="minorHAnsi"/>
        </w:rPr>
        <w:t>, outlining its conclusions, implementation plan and next steps to establish the International Governance Body (IGB). In co</w:t>
      </w:r>
      <w:r w:rsidRPr="0048715D">
        <w:rPr>
          <w:rFonts w:cstheme="minorHAnsi"/>
        </w:rPr>
        <w:noBreakHyphen/>
        <w:t>ordination with CPMI and IOSCO, the FSB identified the Regulatory Oversight Committee</w:t>
      </w:r>
      <w:r w:rsidRPr="0048715D">
        <w:rPr>
          <w:rStyle w:val="FootnoteReference"/>
          <w:rFonts w:cstheme="minorHAnsi"/>
        </w:rPr>
        <w:footnoteReference w:id="22"/>
      </w:r>
      <w:r w:rsidRPr="0048715D">
        <w:rPr>
          <w:rFonts w:cstheme="minorHAnsi"/>
        </w:rPr>
        <w:t xml:space="preserve"> (ROC) of the Global Legal Entity Identifier System as best positioned to become the future IGB for the UPI, UTI and CDE in addition to its existing oversight of LEI, provided it made the necessary adjustments to its existing governance to be fit for purpose for these additional identifiers. In September 2020, the FSB announced </w:t>
      </w:r>
      <w:r w:rsidRPr="0048715D">
        <w:rPr>
          <w:rFonts w:cstheme="minorHAnsi"/>
        </w:rPr>
        <w:lastRenderedPageBreak/>
        <w:t>the transfer of all governance and oversight responsibilities</w:t>
      </w:r>
      <w:r w:rsidRPr="0048715D">
        <w:rPr>
          <w:rStyle w:val="FootnoteReference"/>
          <w:rFonts w:cstheme="minorHAnsi"/>
        </w:rPr>
        <w:footnoteReference w:id="23"/>
      </w:r>
      <w:r w:rsidRPr="0048715D">
        <w:rPr>
          <w:rFonts w:cstheme="minorHAnsi"/>
        </w:rPr>
        <w:t xml:space="preserve"> in relation to the </w:t>
      </w:r>
      <w:proofErr w:type="spellStart"/>
      <w:r w:rsidRPr="0048715D">
        <w:rPr>
          <w:rFonts w:cstheme="minorHAnsi"/>
        </w:rPr>
        <w:t>harmonised</w:t>
      </w:r>
      <w:proofErr w:type="spellEnd"/>
      <w:r w:rsidRPr="0048715D">
        <w:rPr>
          <w:rFonts w:cstheme="minorHAnsi"/>
        </w:rPr>
        <w:t xml:space="preserve"> derivatives identifiers and data elements to the ROC as of October 1, 2020. On the same date, ROC announced and published its revised Charter</w:t>
      </w:r>
      <w:r w:rsidRPr="0048715D">
        <w:rPr>
          <w:rStyle w:val="FootnoteReference"/>
          <w:rFonts w:cstheme="minorHAnsi"/>
        </w:rPr>
        <w:footnoteReference w:id="24"/>
      </w:r>
      <w:r w:rsidRPr="0048715D">
        <w:rPr>
          <w:rFonts w:cstheme="minorHAnsi"/>
        </w:rPr>
        <w:t xml:space="preserve">. </w:t>
      </w:r>
    </w:p>
    <w:p w14:paraId="09F9AB84" w14:textId="77777777" w:rsidR="007625FD" w:rsidRPr="0048715D" w:rsidRDefault="007625FD" w:rsidP="007625FD">
      <w:pPr>
        <w:jc w:val="both"/>
        <w:rPr>
          <w:rFonts w:cstheme="minorHAnsi"/>
        </w:rPr>
      </w:pPr>
      <w:r w:rsidRPr="0048715D">
        <w:rPr>
          <w:rFonts w:cstheme="minorHAnsi"/>
        </w:rPr>
        <w:t xml:space="preserve">Furthermore, the FSB has determined that the UPI Code and the UPI Reference Data Elements should be set as international data standards and has identified ISO as the International </w:t>
      </w:r>
      <w:proofErr w:type="spellStart"/>
      <w:r w:rsidRPr="0048715D">
        <w:rPr>
          <w:rFonts w:cstheme="minorHAnsi"/>
        </w:rPr>
        <w:t>Standardisation</w:t>
      </w:r>
      <w:proofErr w:type="spellEnd"/>
      <w:r w:rsidRPr="0048715D">
        <w:rPr>
          <w:rFonts w:cstheme="minorHAnsi"/>
        </w:rPr>
        <w:t xml:space="preserve"> Body for the </w:t>
      </w:r>
      <w:r>
        <w:rPr>
          <w:rFonts w:cstheme="minorHAnsi"/>
        </w:rPr>
        <w:t xml:space="preserve">development of the </w:t>
      </w:r>
      <w:r w:rsidRPr="0048715D">
        <w:rPr>
          <w:rFonts w:cstheme="minorHAnsi"/>
        </w:rPr>
        <w:t>UPI</w:t>
      </w:r>
      <w:r>
        <w:rPr>
          <w:rFonts w:cstheme="minorHAnsi"/>
        </w:rPr>
        <w:t xml:space="preserve"> </w:t>
      </w:r>
      <w:r w:rsidRPr="0048715D">
        <w:rPr>
          <w:rFonts w:cstheme="minorHAnsi"/>
        </w:rPr>
        <w:t>s</w:t>
      </w:r>
      <w:r>
        <w:rPr>
          <w:rFonts w:cstheme="minorHAnsi"/>
        </w:rPr>
        <w:t>tandard</w:t>
      </w:r>
      <w:r w:rsidRPr="0048715D">
        <w:rPr>
          <w:rFonts w:cstheme="minorHAnsi"/>
        </w:rPr>
        <w:t>.</w:t>
      </w:r>
      <w:r w:rsidRPr="0048715D">
        <w:rPr>
          <w:rStyle w:val="FootnoteReference"/>
          <w:rFonts w:cstheme="minorHAnsi"/>
        </w:rPr>
        <w:footnoteReference w:id="25"/>
      </w:r>
    </w:p>
    <w:p w14:paraId="4A35994E" w14:textId="38024AAB" w:rsidR="007625FD" w:rsidRPr="0048715D" w:rsidRDefault="007625FD" w:rsidP="007625FD">
      <w:pPr>
        <w:jc w:val="both"/>
        <w:rPr>
          <w:rFonts w:cstheme="minorHAnsi"/>
        </w:rPr>
      </w:pPr>
      <w:r w:rsidRPr="0048715D">
        <w:rPr>
          <w:rFonts w:cstheme="minorHAnsi"/>
        </w:rPr>
        <w:t xml:space="preserve">In addition to oversight functions, the governance arrangements also include the need for ongoing coordination between the IGB, the </w:t>
      </w:r>
      <w:r w:rsidR="00F07F21">
        <w:rPr>
          <w:rFonts w:cstheme="minorHAnsi"/>
        </w:rPr>
        <w:t>UPI Service</w:t>
      </w:r>
      <w:r w:rsidRPr="0048715D">
        <w:rPr>
          <w:rFonts w:cstheme="minorHAnsi"/>
        </w:rPr>
        <w:t xml:space="preserve"> provider and industry stakeholders. On this basis, the DSB Product Committee</w:t>
      </w:r>
      <w:r w:rsidRPr="0048715D">
        <w:rPr>
          <w:rStyle w:val="FootnoteReference"/>
          <w:rFonts w:cstheme="minorHAnsi"/>
        </w:rPr>
        <w:footnoteReference w:id="26"/>
      </w:r>
      <w:r w:rsidRPr="0048715D">
        <w:rPr>
          <w:rFonts w:cstheme="minorHAnsi"/>
        </w:rPr>
        <w:t xml:space="preserve"> and Technology Advisory Committee</w:t>
      </w:r>
      <w:r w:rsidRPr="0048715D">
        <w:rPr>
          <w:rStyle w:val="FootnoteReference"/>
          <w:rFonts w:cstheme="minorHAnsi"/>
        </w:rPr>
        <w:footnoteReference w:id="27"/>
      </w:r>
      <w:r w:rsidRPr="0048715D">
        <w:rPr>
          <w:rFonts w:cstheme="minorHAnsi"/>
        </w:rPr>
        <w:t xml:space="preserve"> will function as industry representation groups comprising reporting entities, derivatives infrastructure providers and market data providers.</w:t>
      </w:r>
    </w:p>
    <w:p w14:paraId="05472194" w14:textId="10364B08" w:rsidR="007625FD" w:rsidRDefault="007625FD" w:rsidP="007625FD">
      <w:pPr>
        <w:jc w:val="both"/>
        <w:rPr>
          <w:rFonts w:cstheme="minorHAnsi"/>
        </w:rPr>
      </w:pPr>
      <w:r w:rsidRPr="0048715D">
        <w:rPr>
          <w:rFonts w:cstheme="minorHAnsi"/>
        </w:rPr>
        <w:t xml:space="preserve">The </w:t>
      </w:r>
      <w:r w:rsidR="00F07F21">
        <w:rPr>
          <w:rFonts w:cstheme="minorHAnsi"/>
        </w:rPr>
        <w:t>UPI Service</w:t>
      </w:r>
      <w:r w:rsidRPr="0048715D">
        <w:rPr>
          <w:rFonts w:cstheme="minorHAnsi"/>
        </w:rPr>
        <w:t xml:space="preserve"> and reference data library operated by the DSB is founded on interactions with five major parties, as set out in the diagram below. </w:t>
      </w:r>
    </w:p>
    <w:p w14:paraId="14DFCEE2" w14:textId="77777777" w:rsidR="007625FD" w:rsidRDefault="007625FD" w:rsidP="007625FD">
      <w:pPr>
        <w:jc w:val="both"/>
        <w:rPr>
          <w:rFonts w:cstheme="minorHAnsi"/>
        </w:rPr>
      </w:pPr>
      <w:r w:rsidRPr="000876F3">
        <w:rPr>
          <w:noProof/>
        </w:rPr>
        <w:drawing>
          <wp:inline distT="0" distB="0" distL="0" distR="0" wp14:anchorId="2F0EF9DD" wp14:editId="6C945F69">
            <wp:extent cx="5731510" cy="3223260"/>
            <wp:effectExtent l="0" t="0" r="254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inline>
        </w:drawing>
      </w:r>
    </w:p>
    <w:p w14:paraId="69107CB4" w14:textId="77777777" w:rsidR="007625FD" w:rsidRPr="0048715D" w:rsidRDefault="007625FD" w:rsidP="007625FD">
      <w:pPr>
        <w:jc w:val="both"/>
        <w:rPr>
          <w:rFonts w:cstheme="minorHAnsi"/>
        </w:rPr>
      </w:pPr>
      <w:r w:rsidRPr="0048715D">
        <w:rPr>
          <w:rFonts w:cstheme="minorHAnsi"/>
        </w:rPr>
        <w:t>Taking each in turn, these comprise the:</w:t>
      </w:r>
    </w:p>
    <w:p w14:paraId="388D05F8" w14:textId="77777777" w:rsidR="007625FD" w:rsidRPr="004324BE" w:rsidRDefault="007625FD" w:rsidP="007625FD">
      <w:pPr>
        <w:pStyle w:val="ListParagraph"/>
        <w:numPr>
          <w:ilvl w:val="0"/>
          <w:numId w:val="4"/>
        </w:numPr>
        <w:autoSpaceDE/>
        <w:autoSpaceDN/>
        <w:adjustRightInd/>
        <w:spacing w:before="0" w:after="120" w:line="276" w:lineRule="auto"/>
        <w:ind w:left="357" w:right="0" w:hanging="357"/>
        <w:jc w:val="both"/>
        <w:rPr>
          <w:rFonts w:cstheme="minorHAnsi"/>
          <w:sz w:val="22"/>
          <w:szCs w:val="22"/>
        </w:rPr>
      </w:pPr>
      <w:r w:rsidRPr="004324BE">
        <w:rPr>
          <w:rFonts w:cstheme="minorHAnsi"/>
          <w:b/>
          <w:bCs/>
          <w:sz w:val="22"/>
          <w:szCs w:val="22"/>
        </w:rPr>
        <w:t xml:space="preserve">IGB: </w:t>
      </w:r>
      <w:r w:rsidRPr="004324BE">
        <w:rPr>
          <w:rFonts w:cstheme="minorHAnsi"/>
          <w:sz w:val="22"/>
          <w:szCs w:val="22"/>
        </w:rPr>
        <w:t xml:space="preserve">an international regulatory oversight body that should provide overall oversight and coordinate between the UPI Service Provider(s), the International </w:t>
      </w:r>
      <w:proofErr w:type="spellStart"/>
      <w:r w:rsidRPr="004324BE">
        <w:rPr>
          <w:rFonts w:cstheme="minorHAnsi"/>
          <w:sz w:val="22"/>
          <w:szCs w:val="22"/>
        </w:rPr>
        <w:t>Standardisation</w:t>
      </w:r>
      <w:proofErr w:type="spellEnd"/>
      <w:r w:rsidRPr="004324BE">
        <w:rPr>
          <w:rFonts w:cstheme="minorHAnsi"/>
          <w:sz w:val="22"/>
          <w:szCs w:val="22"/>
        </w:rPr>
        <w:t xml:space="preserve"> Body, and other elements of </w:t>
      </w:r>
      <w:r w:rsidRPr="004324BE">
        <w:rPr>
          <w:rFonts w:cstheme="minorHAnsi"/>
          <w:sz w:val="22"/>
          <w:szCs w:val="22"/>
        </w:rPr>
        <w:lastRenderedPageBreak/>
        <w:t xml:space="preserve">the UPI Governance Arrangements, as well as to coordinate among the various stakeholders, and other international standard-setting bodies (including the CPMI, </w:t>
      </w:r>
      <w:proofErr w:type="gramStart"/>
      <w:r w:rsidRPr="004324BE">
        <w:rPr>
          <w:rFonts w:cstheme="minorHAnsi"/>
          <w:sz w:val="22"/>
          <w:szCs w:val="22"/>
        </w:rPr>
        <w:t>IOSCO</w:t>
      </w:r>
      <w:proofErr w:type="gramEnd"/>
      <w:r w:rsidRPr="004324BE">
        <w:rPr>
          <w:rFonts w:cstheme="minorHAnsi"/>
          <w:sz w:val="22"/>
          <w:szCs w:val="22"/>
        </w:rPr>
        <w:t xml:space="preserve"> and FSB).</w:t>
      </w:r>
      <w:r w:rsidRPr="004324BE">
        <w:rPr>
          <w:rStyle w:val="FootnoteReference"/>
          <w:rFonts w:cstheme="minorHAnsi"/>
          <w:sz w:val="22"/>
          <w:szCs w:val="22"/>
        </w:rPr>
        <w:footnoteReference w:id="28"/>
      </w:r>
      <w:r w:rsidRPr="004324BE">
        <w:rPr>
          <w:rFonts w:cstheme="minorHAnsi"/>
          <w:sz w:val="22"/>
          <w:szCs w:val="22"/>
        </w:rPr>
        <w:t xml:space="preserve"> </w:t>
      </w:r>
    </w:p>
    <w:p w14:paraId="152AC93F" w14:textId="456E4536" w:rsidR="007625FD" w:rsidRPr="004324BE" w:rsidRDefault="007625FD" w:rsidP="004324BE">
      <w:pPr>
        <w:pStyle w:val="ListParagraph"/>
        <w:spacing w:after="120" w:line="276" w:lineRule="auto"/>
        <w:ind w:left="357" w:hanging="21"/>
        <w:jc w:val="both"/>
        <w:rPr>
          <w:rFonts w:cstheme="minorHAnsi"/>
          <w:sz w:val="22"/>
          <w:szCs w:val="22"/>
        </w:rPr>
      </w:pPr>
      <w:r w:rsidRPr="004324BE">
        <w:rPr>
          <w:rFonts w:cstheme="minorHAnsi"/>
          <w:sz w:val="22"/>
          <w:szCs w:val="22"/>
        </w:rPr>
        <w:t xml:space="preserve">The ROC is a group of 67 </w:t>
      </w:r>
      <w:r w:rsidRPr="004324BE">
        <w:rPr>
          <w:rFonts w:cstheme="minorHAnsi"/>
          <w:bCs/>
          <w:sz w:val="22"/>
          <w:szCs w:val="22"/>
        </w:rPr>
        <w:t>public</w:t>
      </w:r>
      <w:r w:rsidRPr="004324BE">
        <w:rPr>
          <w:rFonts w:cstheme="minorHAnsi"/>
          <w:sz w:val="22"/>
          <w:szCs w:val="22"/>
        </w:rPr>
        <w:t xml:space="preserve"> authorities with full membership and 18 observers from more than 50 countries.</w:t>
      </w:r>
      <w:r w:rsidRPr="004324BE">
        <w:rPr>
          <w:rStyle w:val="FootnoteReference"/>
          <w:rFonts w:cstheme="minorHAnsi"/>
          <w:sz w:val="22"/>
          <w:szCs w:val="22"/>
        </w:rPr>
        <w:footnoteReference w:id="29"/>
      </w:r>
      <w:r w:rsidRPr="004324BE">
        <w:rPr>
          <w:rFonts w:cstheme="minorHAnsi"/>
          <w:sz w:val="22"/>
          <w:szCs w:val="22"/>
        </w:rPr>
        <w:t xml:space="preserve"> The ROC was set up to oversee the LEI and</w:t>
      </w:r>
      <w:r w:rsidRPr="004324BE" w:rsidDel="00C81F50">
        <w:rPr>
          <w:rFonts w:cstheme="minorHAnsi"/>
          <w:sz w:val="22"/>
          <w:szCs w:val="22"/>
        </w:rPr>
        <w:t xml:space="preserve"> </w:t>
      </w:r>
      <w:r w:rsidRPr="004324BE">
        <w:rPr>
          <w:rFonts w:cstheme="minorHAnsi"/>
          <w:sz w:val="22"/>
          <w:szCs w:val="22"/>
        </w:rPr>
        <w:t xml:space="preserve">announced an expanded mandate to become the IGB of the globally </w:t>
      </w:r>
      <w:proofErr w:type="spellStart"/>
      <w:r w:rsidRPr="004324BE">
        <w:rPr>
          <w:rFonts w:cstheme="minorHAnsi"/>
          <w:sz w:val="22"/>
          <w:szCs w:val="22"/>
        </w:rPr>
        <w:t>harmonised</w:t>
      </w:r>
      <w:proofErr w:type="spellEnd"/>
      <w:r w:rsidRPr="004324BE">
        <w:rPr>
          <w:rFonts w:cstheme="minorHAnsi"/>
          <w:sz w:val="22"/>
          <w:szCs w:val="22"/>
        </w:rPr>
        <w:t xml:space="preserve"> UTI, the UPI and the CDE. As IGB of the UTI, UPI and CDE, the ROC becomes the overseer of the designated </w:t>
      </w:r>
      <w:r w:rsidR="00F07F21">
        <w:rPr>
          <w:rFonts w:cstheme="minorHAnsi"/>
          <w:sz w:val="22"/>
          <w:szCs w:val="22"/>
        </w:rPr>
        <w:t>UPI Service</w:t>
      </w:r>
      <w:r w:rsidRPr="004324BE">
        <w:rPr>
          <w:rFonts w:cstheme="minorHAnsi"/>
          <w:sz w:val="22"/>
          <w:szCs w:val="22"/>
        </w:rPr>
        <w:t xml:space="preserve"> provider, The Derivatives Service Bureau (DSB). </w:t>
      </w:r>
    </w:p>
    <w:p w14:paraId="25773AAC" w14:textId="75D12AFE" w:rsidR="007625FD" w:rsidRPr="004324BE" w:rsidRDefault="007625FD" w:rsidP="001D67B1">
      <w:pPr>
        <w:pStyle w:val="ListParagraph"/>
        <w:spacing w:after="120" w:line="276" w:lineRule="auto"/>
        <w:ind w:left="357" w:right="4" w:firstLine="7"/>
        <w:jc w:val="both"/>
        <w:rPr>
          <w:rFonts w:cstheme="minorHAnsi"/>
          <w:sz w:val="22"/>
          <w:szCs w:val="22"/>
        </w:rPr>
      </w:pPr>
      <w:r w:rsidRPr="004324BE">
        <w:rPr>
          <w:rFonts w:cstheme="minorHAnsi"/>
          <w:bCs/>
          <w:sz w:val="22"/>
          <w:szCs w:val="22"/>
        </w:rPr>
        <w:t xml:space="preserve">The Committee on </w:t>
      </w:r>
      <w:r w:rsidRPr="004324BE">
        <w:rPr>
          <w:rFonts w:cstheme="minorHAnsi"/>
          <w:sz w:val="22"/>
          <w:szCs w:val="22"/>
        </w:rPr>
        <w:t>Derivative Identifiers</w:t>
      </w:r>
      <w:r w:rsidRPr="004324BE">
        <w:rPr>
          <w:rFonts w:cstheme="minorHAnsi"/>
          <w:bCs/>
          <w:sz w:val="22"/>
          <w:szCs w:val="22"/>
        </w:rPr>
        <w:t xml:space="preserve"> and Data Elements (CDIDE) is a sub-committee of the ROC with the purpose of supporting </w:t>
      </w:r>
      <w:r w:rsidRPr="004324BE">
        <w:rPr>
          <w:rFonts w:cstheme="minorHAnsi"/>
          <w:sz w:val="22"/>
          <w:szCs w:val="22"/>
        </w:rPr>
        <w:t xml:space="preserve">the ROC on the ROC’s oversight of the implementation of the </w:t>
      </w:r>
      <w:r w:rsidR="00F07F21">
        <w:rPr>
          <w:rFonts w:cstheme="minorHAnsi"/>
          <w:sz w:val="22"/>
          <w:szCs w:val="22"/>
        </w:rPr>
        <w:t>UPI Service</w:t>
      </w:r>
      <w:r w:rsidRPr="004324BE">
        <w:rPr>
          <w:rFonts w:cstheme="minorHAnsi"/>
          <w:sz w:val="22"/>
          <w:szCs w:val="22"/>
        </w:rPr>
        <w:t xml:space="preserve"> and the UPI Reference Data Library by the DSB. CDIDE co-chairs may participate in each of the DSB Product Committee and DSB Technology Advisory Committee (see below) which committees are the Industry Representation Groups described below. </w:t>
      </w:r>
    </w:p>
    <w:p w14:paraId="6A12A895" w14:textId="77777777" w:rsidR="007625FD" w:rsidRPr="004324BE" w:rsidRDefault="007625FD" w:rsidP="001D67B1">
      <w:pPr>
        <w:pStyle w:val="ListParagraph"/>
        <w:numPr>
          <w:ilvl w:val="0"/>
          <w:numId w:val="4"/>
        </w:numPr>
        <w:autoSpaceDE/>
        <w:autoSpaceDN/>
        <w:adjustRightInd/>
        <w:spacing w:before="0" w:after="120" w:line="276" w:lineRule="auto"/>
        <w:ind w:left="357" w:right="4" w:hanging="357"/>
        <w:jc w:val="both"/>
        <w:rPr>
          <w:rFonts w:cstheme="minorHAnsi"/>
          <w:sz w:val="22"/>
          <w:szCs w:val="22"/>
        </w:rPr>
      </w:pPr>
      <w:r w:rsidRPr="004324BE">
        <w:rPr>
          <w:rFonts w:cstheme="minorHAnsi"/>
          <w:b/>
          <w:bCs/>
          <w:sz w:val="22"/>
          <w:szCs w:val="22"/>
        </w:rPr>
        <w:t xml:space="preserve">Authorities (as members of the ROC) and standard-setting bodies: </w:t>
      </w:r>
      <w:r w:rsidRPr="004324BE">
        <w:rPr>
          <w:rFonts w:cstheme="minorHAnsi"/>
          <w:sz w:val="22"/>
          <w:szCs w:val="22"/>
        </w:rPr>
        <w:t xml:space="preserve">will continue to work on implementation, in coordination with the IGB. Authorities of each jurisdiction where the UPI will be reportable (as members of the ROC), and standard setting bodies such as the </w:t>
      </w:r>
      <w:r w:rsidRPr="004324BE">
        <w:rPr>
          <w:rStyle w:val="hgkelc"/>
          <w:rFonts w:cstheme="minorHAnsi"/>
          <w:sz w:val="22"/>
          <w:szCs w:val="22"/>
        </w:rPr>
        <w:t>CPMI</w:t>
      </w:r>
      <w:r w:rsidRPr="004324BE" w:rsidDel="00451047">
        <w:rPr>
          <w:rStyle w:val="hgkelc"/>
          <w:rFonts w:cstheme="minorHAnsi"/>
          <w:sz w:val="22"/>
          <w:szCs w:val="22"/>
        </w:rPr>
        <w:t xml:space="preserve"> and </w:t>
      </w:r>
      <w:r w:rsidRPr="004324BE">
        <w:rPr>
          <w:rStyle w:val="acopre"/>
          <w:rFonts w:cstheme="minorHAnsi"/>
          <w:sz w:val="22"/>
          <w:szCs w:val="22"/>
        </w:rPr>
        <w:t xml:space="preserve">IOSCO also may </w:t>
      </w:r>
      <w:r w:rsidRPr="004324BE">
        <w:rPr>
          <w:rFonts w:cstheme="minorHAnsi"/>
          <w:sz w:val="22"/>
          <w:szCs w:val="22"/>
        </w:rPr>
        <w:t xml:space="preserve">choose to participate in the Industry Representation Groups described below. </w:t>
      </w:r>
    </w:p>
    <w:p w14:paraId="68DA3CA2" w14:textId="77777777" w:rsidR="007625FD" w:rsidRPr="004324BE" w:rsidRDefault="007625FD" w:rsidP="001D67B1">
      <w:pPr>
        <w:pStyle w:val="ListParagraph"/>
        <w:numPr>
          <w:ilvl w:val="0"/>
          <w:numId w:val="4"/>
        </w:numPr>
        <w:autoSpaceDE/>
        <w:autoSpaceDN/>
        <w:adjustRightInd/>
        <w:spacing w:before="0" w:after="120" w:line="276" w:lineRule="auto"/>
        <w:ind w:left="357" w:right="4" w:hanging="357"/>
        <w:jc w:val="both"/>
        <w:rPr>
          <w:rFonts w:cstheme="minorHAnsi"/>
          <w:sz w:val="22"/>
          <w:szCs w:val="22"/>
        </w:rPr>
      </w:pPr>
      <w:r w:rsidRPr="004324BE">
        <w:rPr>
          <w:rFonts w:cstheme="minorHAnsi"/>
          <w:b/>
          <w:bCs/>
          <w:sz w:val="22"/>
          <w:szCs w:val="22"/>
        </w:rPr>
        <w:t xml:space="preserve">Industry Representation Group (IRG): </w:t>
      </w:r>
      <w:r w:rsidRPr="004324BE">
        <w:rPr>
          <w:rFonts w:cstheme="minorHAnsi"/>
          <w:sz w:val="22"/>
          <w:szCs w:val="22"/>
        </w:rPr>
        <w:t xml:space="preserve">with representatives of, inter alia, reporting entities, derivatives infrastructure providers, and/or market data providers, to consult with other parts of the Governance Arrangements, including the IGB and the UPI Service Provider. The functions of an IRG are expected to be carried out by two existing DSB advisory committees, whose charters have been expanded to encompass the UPI initiative. </w:t>
      </w:r>
    </w:p>
    <w:p w14:paraId="17551142" w14:textId="77777777" w:rsidR="007625FD" w:rsidRPr="004324BE" w:rsidRDefault="007625FD" w:rsidP="001D67B1">
      <w:pPr>
        <w:pStyle w:val="ListParagraph"/>
        <w:spacing w:after="120" w:line="276" w:lineRule="auto"/>
        <w:ind w:left="357" w:right="4" w:hanging="7"/>
        <w:jc w:val="both"/>
        <w:rPr>
          <w:rFonts w:cstheme="minorHAnsi"/>
          <w:sz w:val="22"/>
          <w:szCs w:val="22"/>
        </w:rPr>
      </w:pPr>
      <w:r w:rsidRPr="004324BE">
        <w:rPr>
          <w:rFonts w:cstheme="minorHAnsi"/>
          <w:sz w:val="22"/>
          <w:szCs w:val="22"/>
        </w:rPr>
        <w:t xml:space="preserve">Within the </w:t>
      </w:r>
      <w:r w:rsidRPr="004324BE">
        <w:rPr>
          <w:rFonts w:cstheme="minorHAnsi"/>
          <w:bCs/>
          <w:sz w:val="22"/>
          <w:szCs w:val="22"/>
        </w:rPr>
        <w:t>DSB</w:t>
      </w:r>
      <w:r w:rsidRPr="004324BE">
        <w:rPr>
          <w:rFonts w:cstheme="minorHAnsi"/>
          <w:sz w:val="22"/>
          <w:szCs w:val="22"/>
        </w:rPr>
        <w:t>, the two existing advisory committees of the DSB Board of Directors are the Product Committee</w:t>
      </w:r>
      <w:r w:rsidRPr="004324BE">
        <w:rPr>
          <w:rStyle w:val="FootnoteReference"/>
          <w:rFonts w:cstheme="minorHAnsi"/>
          <w:sz w:val="22"/>
          <w:szCs w:val="22"/>
        </w:rPr>
        <w:footnoteReference w:id="30"/>
      </w:r>
      <w:r w:rsidRPr="004324BE">
        <w:rPr>
          <w:rFonts w:cstheme="minorHAnsi"/>
          <w:sz w:val="22"/>
          <w:szCs w:val="22"/>
        </w:rPr>
        <w:t xml:space="preserve"> (PC), and the Technology Advisory Committee</w:t>
      </w:r>
      <w:r w:rsidRPr="004324BE">
        <w:rPr>
          <w:rStyle w:val="FootnoteReference"/>
          <w:rFonts w:cstheme="minorHAnsi"/>
          <w:sz w:val="22"/>
          <w:szCs w:val="22"/>
        </w:rPr>
        <w:footnoteReference w:id="31"/>
      </w:r>
      <w:r w:rsidRPr="004324BE">
        <w:rPr>
          <w:rFonts w:cstheme="minorHAnsi"/>
          <w:sz w:val="22"/>
          <w:szCs w:val="22"/>
        </w:rPr>
        <w:t xml:space="preserve"> (TAC). Both committees comprise a broad range of representatives of entity types and geographical representation.</w:t>
      </w:r>
    </w:p>
    <w:p w14:paraId="3583D4DD" w14:textId="77777777" w:rsidR="007625FD" w:rsidRPr="004324BE" w:rsidRDefault="007625FD" w:rsidP="001D67B1">
      <w:pPr>
        <w:pStyle w:val="ListParagraph"/>
        <w:spacing w:after="120" w:line="276" w:lineRule="auto"/>
        <w:ind w:left="357" w:right="4" w:hanging="7"/>
        <w:jc w:val="both"/>
        <w:rPr>
          <w:rFonts w:cstheme="minorHAnsi"/>
          <w:sz w:val="22"/>
          <w:szCs w:val="22"/>
        </w:rPr>
      </w:pPr>
      <w:r w:rsidRPr="004324BE">
        <w:rPr>
          <w:rFonts w:cstheme="minorHAnsi"/>
          <w:sz w:val="22"/>
          <w:szCs w:val="22"/>
        </w:rPr>
        <w:t>The DSB PC is an industry group that supports the DSB Board through</w:t>
      </w:r>
      <w:r w:rsidRPr="004324BE" w:rsidDel="00550F52">
        <w:rPr>
          <w:rFonts w:cstheme="minorHAnsi"/>
          <w:sz w:val="22"/>
          <w:szCs w:val="22"/>
        </w:rPr>
        <w:t xml:space="preserve"> </w:t>
      </w:r>
      <w:r w:rsidRPr="004324BE">
        <w:rPr>
          <w:rFonts w:cstheme="minorHAnsi"/>
          <w:sz w:val="22"/>
          <w:szCs w:val="22"/>
        </w:rPr>
        <w:t>continuing the work of the ISO study group tasked with defining the ISIN for OTC derivatives. The PC oversees the definitions of a broad range of OTC derivatives and how they translate into data requirements for allocation of these identifiers.  They also support the development and inclusion of descriptive taxonomies used to identify OTC derivatives.</w:t>
      </w:r>
    </w:p>
    <w:p w14:paraId="1D89EB7E" w14:textId="509BEE48" w:rsidR="007625FD" w:rsidRPr="004324BE" w:rsidRDefault="007625FD" w:rsidP="001D67B1">
      <w:pPr>
        <w:pStyle w:val="ListParagraph"/>
        <w:spacing w:after="120" w:line="276" w:lineRule="auto"/>
        <w:ind w:left="357" w:right="4" w:hanging="7"/>
        <w:jc w:val="both"/>
        <w:rPr>
          <w:rFonts w:cstheme="minorHAnsi"/>
          <w:sz w:val="22"/>
          <w:szCs w:val="22"/>
        </w:rPr>
      </w:pPr>
      <w:r w:rsidRPr="004324BE">
        <w:rPr>
          <w:rFonts w:cstheme="minorHAnsi"/>
          <w:sz w:val="22"/>
          <w:szCs w:val="22"/>
        </w:rPr>
        <w:t xml:space="preserve">The DSB TAC is an industry group that supports the DSB Board on technology issues to ensure that the DSB’s technology strategy is aligned with the needs of the markets it serves. The TAC oversees proposed technology changes related to the DSB’s services which includes any technical changes </w:t>
      </w:r>
      <w:r w:rsidRPr="004324BE">
        <w:rPr>
          <w:rFonts w:cstheme="minorHAnsi"/>
          <w:sz w:val="22"/>
          <w:szCs w:val="22"/>
        </w:rPr>
        <w:lastRenderedPageBreak/>
        <w:t xml:space="preserve">identified during the stakeholder consultation process as well as consideration of the workflows and integration needs of the </w:t>
      </w:r>
      <w:r w:rsidR="00F07F21">
        <w:rPr>
          <w:rFonts w:cstheme="minorHAnsi"/>
          <w:sz w:val="22"/>
          <w:szCs w:val="22"/>
        </w:rPr>
        <w:t>UPI Service</w:t>
      </w:r>
      <w:r w:rsidRPr="004324BE">
        <w:rPr>
          <w:rFonts w:cstheme="minorHAnsi"/>
          <w:sz w:val="22"/>
          <w:szCs w:val="22"/>
        </w:rPr>
        <w:t xml:space="preserve"> provision.  </w:t>
      </w:r>
    </w:p>
    <w:p w14:paraId="4F1C0602" w14:textId="77777777" w:rsidR="007625FD" w:rsidRPr="004324BE" w:rsidRDefault="007625FD" w:rsidP="001D67B1">
      <w:pPr>
        <w:pStyle w:val="ListParagraph"/>
        <w:numPr>
          <w:ilvl w:val="0"/>
          <w:numId w:val="4"/>
        </w:numPr>
        <w:autoSpaceDE/>
        <w:autoSpaceDN/>
        <w:adjustRightInd/>
        <w:spacing w:before="0" w:after="120" w:line="276" w:lineRule="auto"/>
        <w:ind w:left="357" w:right="4" w:hanging="357"/>
        <w:jc w:val="both"/>
        <w:rPr>
          <w:rFonts w:cstheme="minorHAnsi"/>
          <w:sz w:val="22"/>
          <w:szCs w:val="22"/>
        </w:rPr>
      </w:pPr>
      <w:r w:rsidRPr="004324BE">
        <w:rPr>
          <w:rFonts w:cstheme="minorHAnsi"/>
          <w:b/>
          <w:bCs/>
          <w:sz w:val="22"/>
          <w:szCs w:val="22"/>
        </w:rPr>
        <w:t xml:space="preserve">International </w:t>
      </w:r>
      <w:proofErr w:type="spellStart"/>
      <w:r w:rsidRPr="004324BE">
        <w:rPr>
          <w:rFonts w:cstheme="minorHAnsi"/>
          <w:b/>
          <w:bCs/>
          <w:sz w:val="22"/>
          <w:szCs w:val="22"/>
        </w:rPr>
        <w:t>Standardisation</w:t>
      </w:r>
      <w:proofErr w:type="spellEnd"/>
      <w:r w:rsidRPr="004324BE">
        <w:rPr>
          <w:rFonts w:cstheme="minorHAnsi"/>
          <w:b/>
          <w:bCs/>
          <w:sz w:val="22"/>
          <w:szCs w:val="22"/>
        </w:rPr>
        <w:t xml:space="preserve"> Body: </w:t>
      </w:r>
      <w:r w:rsidRPr="004324BE">
        <w:rPr>
          <w:rFonts w:cstheme="minorHAnsi"/>
          <w:sz w:val="22"/>
          <w:szCs w:val="22"/>
        </w:rPr>
        <w:t xml:space="preserve"> The ISO has been nominated as the International </w:t>
      </w:r>
      <w:proofErr w:type="spellStart"/>
      <w:r w:rsidRPr="004324BE">
        <w:rPr>
          <w:rFonts w:cstheme="minorHAnsi"/>
          <w:sz w:val="22"/>
          <w:szCs w:val="22"/>
        </w:rPr>
        <w:t>Standardisation</w:t>
      </w:r>
      <w:proofErr w:type="spellEnd"/>
      <w:r w:rsidRPr="004324BE">
        <w:rPr>
          <w:rFonts w:cstheme="minorHAnsi"/>
          <w:sz w:val="22"/>
          <w:szCs w:val="22"/>
        </w:rPr>
        <w:t xml:space="preserve"> Body for the UPI. ISO’s work on development of the UPI standard began in June 2020 with the aim of publishing a final ISO standard in early 2022. The standard will include the format and computation of the UPI code, as well as the minimum data elements driven by the UPI Technical Guidance. </w:t>
      </w:r>
    </w:p>
    <w:p w14:paraId="011F4E47" w14:textId="77777777" w:rsidR="007625FD" w:rsidRPr="004324BE" w:rsidRDefault="007625FD" w:rsidP="001D67B1">
      <w:pPr>
        <w:pStyle w:val="ListParagraph"/>
        <w:spacing w:after="120" w:line="276" w:lineRule="auto"/>
        <w:ind w:left="357" w:right="4" w:hanging="7"/>
        <w:jc w:val="both"/>
        <w:rPr>
          <w:rFonts w:cstheme="minorHAnsi"/>
          <w:sz w:val="22"/>
          <w:szCs w:val="22"/>
        </w:rPr>
      </w:pPr>
      <w:r w:rsidRPr="004324BE">
        <w:rPr>
          <w:sz w:val="22"/>
          <w:szCs w:val="22"/>
        </w:rPr>
        <w:t>ISO provides the framework allowing for a unique UPI Code to be assigned to each distinct OTC derivative product that is reportable to trade repositories.  The standard defines the UPI code structure and the minimum set of reference data elements that will describe the product. Reference data element values as well as possible reference data elements in addition to the ISO standard will be determined by the DSB Product Committee working in conjunction with the ISB.</w:t>
      </w:r>
    </w:p>
    <w:p w14:paraId="290A9B36" w14:textId="3EAA7851" w:rsidR="007625FD" w:rsidRPr="004324BE" w:rsidRDefault="007625FD" w:rsidP="001D67B1">
      <w:pPr>
        <w:numPr>
          <w:ilvl w:val="0"/>
          <w:numId w:val="4"/>
        </w:numPr>
        <w:spacing w:after="120"/>
        <w:ind w:left="336" w:right="4" w:hanging="336"/>
        <w:jc w:val="both"/>
        <w:rPr>
          <w:rFonts w:cstheme="minorHAnsi"/>
        </w:rPr>
      </w:pPr>
      <w:r w:rsidRPr="004324BE">
        <w:rPr>
          <w:rFonts w:cstheme="minorHAnsi"/>
          <w:b/>
          <w:bCs/>
        </w:rPr>
        <w:t>UPI Users:</w:t>
      </w:r>
      <w:r w:rsidRPr="004324BE">
        <w:rPr>
          <w:rFonts w:cstheme="minorHAnsi"/>
        </w:rPr>
        <w:t xml:space="preserve"> UPI Users comprise organizations that will connect to the DSB to create, search for, or download files – on either a fee paying or non-fee-paying basis. Based on the DSB’s experience with the OTC </w:t>
      </w:r>
      <w:r w:rsidR="00F07F21">
        <w:rPr>
          <w:rFonts w:cstheme="minorHAnsi"/>
        </w:rPr>
        <w:t>ISIN Service</w:t>
      </w:r>
      <w:r w:rsidRPr="004324BE">
        <w:rPr>
          <w:rFonts w:cstheme="minorHAnsi"/>
        </w:rPr>
        <w:t xml:space="preserve">, in the three-year period since the service was launched, the DSB expects to continue to see a marked difference between the number and types of firms that will create OTC derivatives reference data records in the DSB (be they for OTC ISIN, UPI, CFI or FISN purposes), and those that consume the data. </w:t>
      </w:r>
    </w:p>
    <w:p w14:paraId="16F140E9" w14:textId="77777777" w:rsidR="007625FD" w:rsidRPr="004324BE" w:rsidRDefault="007625FD" w:rsidP="00BD416F">
      <w:pPr>
        <w:pStyle w:val="ListParagraph"/>
        <w:spacing w:after="120" w:line="276" w:lineRule="auto"/>
        <w:ind w:left="336" w:right="4" w:hanging="7"/>
        <w:jc w:val="both"/>
        <w:rPr>
          <w:rFonts w:cstheme="minorHAnsi"/>
          <w:sz w:val="22"/>
          <w:szCs w:val="22"/>
        </w:rPr>
      </w:pPr>
      <w:r w:rsidRPr="004324BE">
        <w:rPr>
          <w:rFonts w:cstheme="minorHAnsi"/>
          <w:sz w:val="22"/>
          <w:szCs w:val="22"/>
        </w:rPr>
        <w:t>A review of current activity levels shows that an at aggregate level, the sell-side has created 75% of all OTC derivative records in the DSB, with execution platforms, the larger buy-</w:t>
      </w:r>
      <w:proofErr w:type="gramStart"/>
      <w:r w:rsidRPr="004324BE">
        <w:rPr>
          <w:rFonts w:cstheme="minorHAnsi"/>
          <w:sz w:val="22"/>
          <w:szCs w:val="22"/>
        </w:rPr>
        <w:t>side</w:t>
      </w:r>
      <w:proofErr w:type="gramEnd"/>
      <w:r w:rsidRPr="004324BE">
        <w:rPr>
          <w:rFonts w:cstheme="minorHAnsi"/>
          <w:sz w:val="22"/>
          <w:szCs w:val="22"/>
        </w:rPr>
        <w:t xml:space="preserve"> and some data vendors responsible for creating the remainder. In total, 124 entities pay the DSB to create data and/or search for records, with 60% of this group accessing the DSB in a programmatic manner. </w:t>
      </w:r>
    </w:p>
    <w:p w14:paraId="4053E4E7" w14:textId="77777777" w:rsidR="007625FD" w:rsidRPr="004324BE" w:rsidRDefault="007625FD" w:rsidP="00BD416F">
      <w:pPr>
        <w:pStyle w:val="ListParagraph"/>
        <w:spacing w:after="120" w:line="276" w:lineRule="auto"/>
        <w:ind w:left="336" w:right="4" w:hanging="7"/>
        <w:jc w:val="both"/>
        <w:rPr>
          <w:rFonts w:cstheme="minorHAnsi"/>
          <w:sz w:val="22"/>
          <w:szCs w:val="22"/>
        </w:rPr>
      </w:pPr>
      <w:r w:rsidRPr="004324BE">
        <w:rPr>
          <w:rFonts w:cstheme="minorHAnsi"/>
          <w:sz w:val="22"/>
          <w:szCs w:val="22"/>
        </w:rPr>
        <w:t>When looking at the full list of organizations that access the DSB today</w:t>
      </w:r>
      <w:r w:rsidRPr="004324BE" w:rsidDel="008B169F">
        <w:rPr>
          <w:rFonts w:cstheme="minorHAnsi"/>
          <w:sz w:val="22"/>
          <w:szCs w:val="22"/>
        </w:rPr>
        <w:t xml:space="preserve"> </w:t>
      </w:r>
      <w:r w:rsidRPr="004324BE">
        <w:rPr>
          <w:rFonts w:cstheme="minorHAnsi"/>
          <w:sz w:val="22"/>
          <w:szCs w:val="22"/>
        </w:rPr>
        <w:t xml:space="preserve">across both fee paying and free of cost users, 470 organizations, almost 70% do so free of cost to download free to use data files. A further 25% access the DSB to create records, search for records, and download data files, with 3% exclusively creating data, and a further 3% exclusively searching for data. </w:t>
      </w:r>
    </w:p>
    <w:p w14:paraId="6D81413A" w14:textId="77777777" w:rsidR="007625FD" w:rsidRPr="003F5F8A" w:rsidRDefault="007625FD" w:rsidP="00BD416F">
      <w:pPr>
        <w:pStyle w:val="ListParagraph"/>
        <w:spacing w:after="120" w:line="276" w:lineRule="auto"/>
        <w:ind w:left="336" w:right="4" w:hanging="21"/>
        <w:jc w:val="both"/>
        <w:rPr>
          <w:shd w:val="clear" w:color="auto" w:fill="FFFFFF"/>
        </w:rPr>
      </w:pPr>
      <w:r w:rsidRPr="004324BE">
        <w:rPr>
          <w:rFonts w:cstheme="minorHAnsi"/>
          <w:sz w:val="22"/>
          <w:szCs w:val="22"/>
          <w:shd w:val="clear" w:color="auto" w:fill="FFFFFF"/>
        </w:rPr>
        <w:t xml:space="preserve">In addition, the data of DSB existing Users to date shows that in contrast to the creation of data which is driven by the sell-side and execution platforms, consumers of the OTC derivative reference data generated at the DSB represent a substantively broader composition as set out in the following diagram. It is a reasonable expectation that while the specific numbers of each type of organisation that accesses the DSB for UPI data will vary from current practice, the overall composition of each organisation type is likely to continue given the divergent reasons that users cite in discussions with the DSB. </w:t>
      </w:r>
    </w:p>
    <w:p w14:paraId="12B0455C" w14:textId="77777777" w:rsidR="007625FD" w:rsidRDefault="007625FD" w:rsidP="004324BE">
      <w:pPr>
        <w:pStyle w:val="ListParagraph"/>
        <w:spacing w:after="120" w:line="276" w:lineRule="auto"/>
        <w:ind w:left="357" w:hanging="357"/>
        <w:jc w:val="both"/>
        <w:rPr>
          <w:rFonts w:cstheme="minorHAnsi"/>
        </w:rPr>
      </w:pPr>
      <w:r w:rsidRPr="000876F3">
        <w:rPr>
          <w:noProof/>
        </w:rPr>
        <w:lastRenderedPageBreak/>
        <w:drawing>
          <wp:anchor distT="0" distB="0" distL="114300" distR="114300" simplePos="0" relativeHeight="251658254" behindDoc="0" locked="0" layoutInCell="1" allowOverlap="1" wp14:anchorId="131D2DF7" wp14:editId="72B9BE21">
            <wp:simplePos x="0" y="0"/>
            <wp:positionH relativeFrom="column">
              <wp:posOffset>342900</wp:posOffset>
            </wp:positionH>
            <wp:positionV relativeFrom="paragraph">
              <wp:posOffset>64770</wp:posOffset>
            </wp:positionV>
            <wp:extent cx="5302800" cy="3657601"/>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5302800" cy="3657601"/>
                    </a:xfrm>
                    <a:prstGeom prst="rect">
                      <a:avLst/>
                    </a:prstGeom>
                  </pic:spPr>
                </pic:pic>
              </a:graphicData>
            </a:graphic>
            <wp14:sizeRelH relativeFrom="margin">
              <wp14:pctWidth>0</wp14:pctWidth>
            </wp14:sizeRelH>
          </wp:anchor>
        </w:drawing>
      </w:r>
    </w:p>
    <w:p w14:paraId="0F61947F" w14:textId="77777777" w:rsidR="007625FD" w:rsidRPr="00D9326A" w:rsidRDefault="007625FD" w:rsidP="007625FD">
      <w:pPr>
        <w:spacing w:after="120"/>
        <w:jc w:val="both"/>
        <w:rPr>
          <w:rFonts w:cstheme="minorHAnsi"/>
          <w:sz w:val="4"/>
          <w:szCs w:val="4"/>
        </w:rPr>
      </w:pPr>
    </w:p>
    <w:p w14:paraId="2D8A76D9" w14:textId="77777777" w:rsidR="007625FD" w:rsidRPr="004324BE" w:rsidRDefault="007625FD" w:rsidP="007625FD">
      <w:pPr>
        <w:pStyle w:val="ListParagraph"/>
        <w:numPr>
          <w:ilvl w:val="0"/>
          <w:numId w:val="4"/>
        </w:numPr>
        <w:autoSpaceDE/>
        <w:autoSpaceDN/>
        <w:adjustRightInd/>
        <w:spacing w:before="0" w:after="120" w:line="276" w:lineRule="auto"/>
        <w:ind w:left="357" w:right="0" w:hanging="357"/>
        <w:jc w:val="both"/>
        <w:rPr>
          <w:rFonts w:cstheme="minorHAnsi"/>
          <w:sz w:val="22"/>
          <w:szCs w:val="22"/>
        </w:rPr>
      </w:pPr>
      <w:r w:rsidRPr="004324BE">
        <w:rPr>
          <w:rFonts w:cstheme="minorHAnsi"/>
          <w:b/>
          <w:bCs/>
          <w:sz w:val="22"/>
          <w:szCs w:val="22"/>
        </w:rPr>
        <w:t xml:space="preserve">UPI Service Provider(s): </w:t>
      </w:r>
      <w:r w:rsidRPr="004324BE">
        <w:rPr>
          <w:rFonts w:cstheme="minorHAnsi"/>
          <w:sz w:val="22"/>
          <w:szCs w:val="22"/>
        </w:rPr>
        <w:t xml:space="preserve">This entity or these entities should provide for timely issuance of UPI Codes and maintenance of their associated reference data consistent with the UPI Technical Guidance. </w:t>
      </w:r>
    </w:p>
    <w:p w14:paraId="33FE2AD7" w14:textId="77777777" w:rsidR="007625FD" w:rsidRPr="004324BE" w:rsidRDefault="007625FD" w:rsidP="007625FD">
      <w:pPr>
        <w:pStyle w:val="ListParagraph"/>
        <w:numPr>
          <w:ilvl w:val="0"/>
          <w:numId w:val="4"/>
        </w:numPr>
        <w:autoSpaceDE/>
        <w:autoSpaceDN/>
        <w:adjustRightInd/>
        <w:spacing w:before="0" w:after="120" w:line="276" w:lineRule="auto"/>
        <w:ind w:left="357" w:right="0" w:hanging="357"/>
        <w:jc w:val="both"/>
        <w:rPr>
          <w:rFonts w:cstheme="minorHAnsi"/>
          <w:sz w:val="22"/>
          <w:szCs w:val="22"/>
        </w:rPr>
      </w:pPr>
      <w:r w:rsidRPr="004324BE">
        <w:rPr>
          <w:b/>
          <w:sz w:val="22"/>
          <w:szCs w:val="22"/>
        </w:rPr>
        <w:t>Operator of the UPI Reference Data Library (RDL):</w:t>
      </w:r>
      <w:r w:rsidRPr="004324BE">
        <w:rPr>
          <w:sz w:val="22"/>
          <w:szCs w:val="22"/>
        </w:rPr>
        <w:t xml:space="preserve"> an entity that should record all existing UPI Codes and their associated UPI Reference Data. Most respondents to the FSB’s UPI governance consultations did not favour a split between the UPI Service Provider and the Operator of the UPI RDL. On this basis, the DSB is</w:t>
      </w:r>
      <w:r w:rsidRPr="004324BE" w:rsidDel="0028694B">
        <w:rPr>
          <w:sz w:val="22"/>
          <w:szCs w:val="22"/>
        </w:rPr>
        <w:t xml:space="preserve"> </w:t>
      </w:r>
      <w:r w:rsidRPr="004324BE">
        <w:rPr>
          <w:sz w:val="22"/>
          <w:szCs w:val="22"/>
        </w:rPr>
        <w:t xml:space="preserve">both the UPI Service Provider and the UPI Reference Data Library operator. </w:t>
      </w:r>
    </w:p>
    <w:p w14:paraId="38BE42F0" w14:textId="77777777" w:rsidR="007625FD" w:rsidRPr="003F5F8A" w:rsidRDefault="007625FD" w:rsidP="007625FD">
      <w:pPr>
        <w:pStyle w:val="ListParagraph"/>
        <w:spacing w:after="120" w:line="276" w:lineRule="auto"/>
        <w:ind w:left="0"/>
        <w:jc w:val="both"/>
        <w:rPr>
          <w:rFonts w:cstheme="minorHAnsi"/>
        </w:rPr>
      </w:pPr>
    </w:p>
    <w:p w14:paraId="761AB9F1" w14:textId="77777777" w:rsidR="007625FD" w:rsidRDefault="007625FD" w:rsidP="007625FD">
      <w:pPr>
        <w:pStyle w:val="Heading2"/>
        <w:numPr>
          <w:ilvl w:val="0"/>
          <w:numId w:val="0"/>
        </w:numPr>
        <w:spacing w:line="276" w:lineRule="auto"/>
        <w:ind w:left="576" w:hanging="576"/>
      </w:pPr>
    </w:p>
    <w:p w14:paraId="7A5C3AB3" w14:textId="77777777" w:rsidR="007625FD" w:rsidRDefault="007625FD" w:rsidP="007625FD">
      <w:pPr>
        <w:pStyle w:val="Heading2"/>
        <w:spacing w:line="276" w:lineRule="auto"/>
      </w:pPr>
      <w:bookmarkStart w:id="36" w:name="_Governance_Criteria"/>
      <w:bookmarkStart w:id="37" w:name="_Ref83379769"/>
      <w:bookmarkStart w:id="38" w:name="_Toc86680467"/>
      <w:bookmarkEnd w:id="36"/>
      <w:r>
        <w:t>Governance Criteria</w:t>
      </w:r>
      <w:bookmarkEnd w:id="37"/>
      <w:bookmarkEnd w:id="38"/>
    </w:p>
    <w:p w14:paraId="3F44D173" w14:textId="77777777" w:rsidR="007625FD" w:rsidRPr="009F5C43" w:rsidRDefault="007625FD" w:rsidP="003D35CF">
      <w:pPr>
        <w:jc w:val="both"/>
        <w:rPr>
          <w:rFonts w:cstheme="minorHAnsi"/>
        </w:rPr>
      </w:pPr>
      <w:r w:rsidRPr="003F5F8A">
        <w:rPr>
          <w:rFonts w:cstheme="minorHAnsi"/>
        </w:rPr>
        <w:t>In relation to the governance arrangements, key criteria have been specified by the FSB to guide the choices made. These governance criteria, detailed throughout the FSB governance arrangements consultation process and outlined in the FSB Governance arrangements for the UPI</w:t>
      </w:r>
      <w:r w:rsidRPr="003F5F8A">
        <w:rPr>
          <w:rStyle w:val="FootnoteReference"/>
          <w:rFonts w:cstheme="minorHAnsi"/>
        </w:rPr>
        <w:footnoteReference w:id="32"/>
      </w:r>
      <w:r w:rsidRPr="003F5F8A">
        <w:rPr>
          <w:rFonts w:cstheme="minorHAnsi"/>
        </w:rPr>
        <w:t xml:space="preserve">, are provided below. </w:t>
      </w:r>
    </w:p>
    <w:p w14:paraId="4E23FC52" w14:textId="77777777" w:rsidR="007625FD" w:rsidRPr="009A53EF" w:rsidRDefault="007625FD" w:rsidP="003D35CF">
      <w:pPr>
        <w:jc w:val="both"/>
        <w:rPr>
          <w:rFonts w:cstheme="minorHAnsi"/>
        </w:rPr>
      </w:pPr>
      <w:r w:rsidRPr="003034AA">
        <w:rPr>
          <w:rFonts w:cstheme="minorHAnsi"/>
        </w:rPr>
        <w:t xml:space="preserve">The governance criteria have been referenced within this paper where related to the UPI </w:t>
      </w:r>
      <w:r>
        <w:rPr>
          <w:rFonts w:cstheme="minorHAnsi"/>
        </w:rPr>
        <w:t>legal terms and conditions</w:t>
      </w:r>
      <w:r w:rsidRPr="003034AA">
        <w:rPr>
          <w:rFonts w:cstheme="minorHAnsi"/>
        </w:rPr>
        <w:t>.</w:t>
      </w:r>
    </w:p>
    <w:p w14:paraId="5593C3EF" w14:textId="77777777" w:rsidR="007625FD" w:rsidRPr="00BD416F" w:rsidRDefault="007625FD" w:rsidP="00BD416F">
      <w:pPr>
        <w:pStyle w:val="ListParagraph"/>
        <w:numPr>
          <w:ilvl w:val="0"/>
          <w:numId w:val="6"/>
        </w:numPr>
        <w:autoSpaceDE/>
        <w:autoSpaceDN/>
        <w:adjustRightInd/>
        <w:spacing w:before="0" w:line="276" w:lineRule="auto"/>
        <w:ind w:left="357" w:right="0" w:hanging="357"/>
        <w:jc w:val="both"/>
        <w:rPr>
          <w:rFonts w:cstheme="minorHAnsi"/>
          <w:b/>
          <w:bCs/>
          <w:sz w:val="22"/>
          <w:szCs w:val="22"/>
        </w:rPr>
      </w:pPr>
      <w:r w:rsidRPr="00BD416F">
        <w:rPr>
          <w:rFonts w:cstheme="minorHAnsi"/>
          <w:b/>
          <w:bCs/>
          <w:sz w:val="22"/>
          <w:szCs w:val="22"/>
        </w:rPr>
        <w:t>Public interest</w:t>
      </w:r>
    </w:p>
    <w:p w14:paraId="20D0821D" w14:textId="77777777" w:rsidR="007625FD" w:rsidRPr="00BD416F" w:rsidRDefault="007625FD" w:rsidP="00BD416F">
      <w:pPr>
        <w:jc w:val="both"/>
        <w:rPr>
          <w:rFonts w:cstheme="minorHAnsi"/>
        </w:rPr>
      </w:pPr>
      <w:r w:rsidRPr="00BD416F">
        <w:rPr>
          <w:rFonts w:cstheme="minorHAnsi"/>
        </w:rPr>
        <w:lastRenderedPageBreak/>
        <w:t>Governance should be driven by the public and regulatory interest.</w:t>
      </w:r>
    </w:p>
    <w:p w14:paraId="7A1C67A7" w14:textId="77777777" w:rsidR="007625FD" w:rsidRPr="00BD416F" w:rsidRDefault="007625FD" w:rsidP="00BD416F">
      <w:pPr>
        <w:pStyle w:val="ListParagraph"/>
        <w:numPr>
          <w:ilvl w:val="0"/>
          <w:numId w:val="6"/>
        </w:numPr>
        <w:autoSpaceDE/>
        <w:autoSpaceDN/>
        <w:adjustRightInd/>
        <w:spacing w:before="0" w:line="276" w:lineRule="auto"/>
        <w:ind w:left="357" w:right="0" w:hanging="357"/>
        <w:jc w:val="both"/>
        <w:rPr>
          <w:rFonts w:cstheme="minorHAnsi"/>
          <w:b/>
          <w:bCs/>
          <w:sz w:val="22"/>
          <w:szCs w:val="22"/>
        </w:rPr>
      </w:pPr>
      <w:r w:rsidRPr="00BD416F">
        <w:rPr>
          <w:rFonts w:cstheme="minorHAnsi"/>
          <w:b/>
          <w:sz w:val="22"/>
          <w:szCs w:val="22"/>
        </w:rPr>
        <w:t>Lean</w:t>
      </w:r>
    </w:p>
    <w:p w14:paraId="2EC158B2" w14:textId="77777777" w:rsidR="007625FD" w:rsidRPr="00BD416F" w:rsidRDefault="007625FD" w:rsidP="00BD416F">
      <w:pPr>
        <w:jc w:val="both"/>
        <w:rPr>
          <w:rFonts w:cstheme="minorHAnsi"/>
        </w:rPr>
      </w:pPr>
      <w:r w:rsidRPr="00BD416F">
        <w:rPr>
          <w:rFonts w:cstheme="minorHAnsi"/>
        </w:rPr>
        <w:t>The UPI Governance Arrangements should not be unnecessarily complex or costly.</w:t>
      </w:r>
    </w:p>
    <w:p w14:paraId="4A747536" w14:textId="77777777" w:rsidR="007625FD" w:rsidRPr="00BD416F" w:rsidRDefault="007625FD" w:rsidP="00BD416F">
      <w:pPr>
        <w:pStyle w:val="ListParagraph"/>
        <w:numPr>
          <w:ilvl w:val="0"/>
          <w:numId w:val="6"/>
        </w:numPr>
        <w:autoSpaceDE/>
        <w:autoSpaceDN/>
        <w:adjustRightInd/>
        <w:spacing w:before="0" w:line="276" w:lineRule="auto"/>
        <w:ind w:left="357" w:right="0" w:hanging="357"/>
        <w:jc w:val="both"/>
        <w:rPr>
          <w:rFonts w:cstheme="minorHAnsi"/>
          <w:b/>
          <w:bCs/>
          <w:sz w:val="22"/>
          <w:szCs w:val="22"/>
        </w:rPr>
      </w:pPr>
      <w:r w:rsidRPr="00BD416F">
        <w:rPr>
          <w:rFonts w:cstheme="minorHAnsi"/>
          <w:b/>
          <w:bCs/>
          <w:sz w:val="22"/>
          <w:szCs w:val="22"/>
        </w:rPr>
        <w:t>Change only as needed</w:t>
      </w:r>
    </w:p>
    <w:p w14:paraId="70C17C92" w14:textId="77777777" w:rsidR="007625FD" w:rsidRPr="00BD416F" w:rsidRDefault="007625FD" w:rsidP="00BD416F">
      <w:pPr>
        <w:jc w:val="both"/>
        <w:rPr>
          <w:rFonts w:cstheme="minorHAnsi"/>
        </w:rPr>
      </w:pPr>
      <w:r w:rsidRPr="00BD416F">
        <w:rPr>
          <w:rFonts w:cstheme="minorHAnsi"/>
        </w:rPr>
        <w:t>Revisions to the UPI Governance Arrangements, the UPI Technical Guidance and UPI System should be managed on a need-only basis and consider benefits and costs of such revisions to minimise impacts on various stakeholders.</w:t>
      </w:r>
    </w:p>
    <w:p w14:paraId="49D4D2B7" w14:textId="77777777" w:rsidR="007625FD" w:rsidRPr="00BD416F" w:rsidRDefault="007625FD" w:rsidP="00BD416F">
      <w:pPr>
        <w:pStyle w:val="ListParagraph"/>
        <w:numPr>
          <w:ilvl w:val="0"/>
          <w:numId w:val="6"/>
        </w:numPr>
        <w:autoSpaceDE/>
        <w:autoSpaceDN/>
        <w:adjustRightInd/>
        <w:spacing w:before="0" w:line="276" w:lineRule="auto"/>
        <w:ind w:left="357" w:right="0" w:hanging="357"/>
        <w:jc w:val="both"/>
        <w:rPr>
          <w:rFonts w:cstheme="minorHAnsi"/>
          <w:b/>
          <w:bCs/>
          <w:sz w:val="22"/>
          <w:szCs w:val="22"/>
        </w:rPr>
      </w:pPr>
      <w:r w:rsidRPr="00BD416F">
        <w:rPr>
          <w:rFonts w:cstheme="minorHAnsi"/>
          <w:b/>
          <w:sz w:val="22"/>
          <w:szCs w:val="22"/>
        </w:rPr>
        <w:t>Consultative change process</w:t>
      </w:r>
    </w:p>
    <w:p w14:paraId="04A4A30E" w14:textId="77777777" w:rsidR="007625FD" w:rsidRPr="00BD416F" w:rsidRDefault="007625FD" w:rsidP="00BD416F">
      <w:pPr>
        <w:jc w:val="both"/>
        <w:rPr>
          <w:rFonts w:cstheme="minorHAnsi"/>
        </w:rPr>
      </w:pPr>
      <w:r w:rsidRPr="00BD416F">
        <w:rPr>
          <w:rFonts w:cstheme="minorHAnsi"/>
        </w:rPr>
        <w:t>Changes to the UPI Governance Arrangements, UPI Technical Guidance, and UPI System (except for the day-to-day process of updating the data held in the UPI Reference Data Library) should allow for direct or indirect involvement of stakeholders and should be made after public consultation where appropriate.</w:t>
      </w:r>
    </w:p>
    <w:p w14:paraId="3B100B21" w14:textId="77777777" w:rsidR="007625FD" w:rsidRPr="00BD416F" w:rsidRDefault="007625FD" w:rsidP="00BD416F">
      <w:pPr>
        <w:pStyle w:val="ListParagraph"/>
        <w:numPr>
          <w:ilvl w:val="0"/>
          <w:numId w:val="6"/>
        </w:numPr>
        <w:autoSpaceDE/>
        <w:autoSpaceDN/>
        <w:adjustRightInd/>
        <w:spacing w:before="0" w:line="276" w:lineRule="auto"/>
        <w:ind w:left="357" w:right="0" w:hanging="357"/>
        <w:jc w:val="both"/>
        <w:rPr>
          <w:rFonts w:cstheme="minorHAnsi"/>
          <w:b/>
          <w:bCs/>
          <w:sz w:val="22"/>
          <w:szCs w:val="22"/>
        </w:rPr>
      </w:pPr>
      <w:r w:rsidRPr="00BD416F">
        <w:rPr>
          <w:rFonts w:cstheme="minorHAnsi"/>
          <w:b/>
          <w:sz w:val="22"/>
          <w:szCs w:val="22"/>
        </w:rPr>
        <w:t>Economic sustainability</w:t>
      </w:r>
    </w:p>
    <w:p w14:paraId="7187CFEB" w14:textId="77777777" w:rsidR="007625FD" w:rsidRPr="00BD416F" w:rsidRDefault="007625FD" w:rsidP="00BD416F">
      <w:pPr>
        <w:jc w:val="both"/>
        <w:rPr>
          <w:rFonts w:cstheme="minorHAnsi"/>
        </w:rPr>
      </w:pPr>
      <w:r w:rsidRPr="00BD416F">
        <w:rPr>
          <w:rFonts w:cstheme="minorHAnsi"/>
        </w:rPr>
        <w:t>The UPI Governance Arrangements should be consistent with the need to help ensure the economic sustainability of the UPI System over time.</w:t>
      </w:r>
    </w:p>
    <w:p w14:paraId="02406FE6" w14:textId="77777777" w:rsidR="007625FD" w:rsidRPr="00BD416F" w:rsidRDefault="007625FD" w:rsidP="00BD416F">
      <w:pPr>
        <w:pStyle w:val="ListParagraph"/>
        <w:numPr>
          <w:ilvl w:val="0"/>
          <w:numId w:val="6"/>
        </w:numPr>
        <w:autoSpaceDE/>
        <w:autoSpaceDN/>
        <w:adjustRightInd/>
        <w:spacing w:before="0" w:line="276" w:lineRule="auto"/>
        <w:ind w:right="0"/>
        <w:contextualSpacing/>
        <w:jc w:val="both"/>
        <w:rPr>
          <w:rFonts w:cstheme="minorHAnsi"/>
          <w:b/>
          <w:bCs/>
          <w:sz w:val="22"/>
          <w:szCs w:val="22"/>
        </w:rPr>
      </w:pPr>
      <w:r w:rsidRPr="00BD416F">
        <w:rPr>
          <w:rFonts w:cstheme="minorHAnsi"/>
          <w:b/>
          <w:sz w:val="22"/>
          <w:szCs w:val="22"/>
        </w:rPr>
        <w:t>Open access</w:t>
      </w:r>
    </w:p>
    <w:p w14:paraId="7D11720A" w14:textId="77777777" w:rsidR="007625FD" w:rsidRPr="00BD416F" w:rsidRDefault="007625FD" w:rsidP="00BD416F">
      <w:pPr>
        <w:jc w:val="both"/>
        <w:rPr>
          <w:rFonts w:cstheme="minorHAnsi"/>
        </w:rPr>
      </w:pPr>
      <w:r w:rsidRPr="00BD416F">
        <w:rPr>
          <w:rFonts w:cstheme="minorHAnsi"/>
        </w:rPr>
        <w:t>Access to, and use of, UPI Codes and the UPI Data Standard should be unrestricted. Authorities should have access to, and use of, the UPI Reference Data Library that is similarly unrestricted. Entities with reporting obligations and TRs should have access to, and use of, the UPI Reference Data Library in a manner that is sufficient to at least allow them to associate a specific OTC derivative product to its UPI Code in a timely manner and facilitate the discharge of reporting obligations for OTC derivatives transactions.</w:t>
      </w:r>
    </w:p>
    <w:p w14:paraId="2150DF46" w14:textId="77777777" w:rsidR="007625FD" w:rsidRPr="00BD416F" w:rsidRDefault="007625FD" w:rsidP="00BD416F">
      <w:pPr>
        <w:pStyle w:val="ListParagraph"/>
        <w:numPr>
          <w:ilvl w:val="0"/>
          <w:numId w:val="6"/>
        </w:numPr>
        <w:autoSpaceDE/>
        <w:autoSpaceDN/>
        <w:adjustRightInd/>
        <w:spacing w:before="0" w:line="276" w:lineRule="auto"/>
        <w:ind w:right="0"/>
        <w:contextualSpacing/>
        <w:jc w:val="both"/>
        <w:rPr>
          <w:rFonts w:cstheme="minorHAnsi"/>
          <w:b/>
          <w:bCs/>
          <w:sz w:val="22"/>
          <w:szCs w:val="22"/>
        </w:rPr>
      </w:pPr>
      <w:r w:rsidRPr="00BD416F">
        <w:rPr>
          <w:rFonts w:cstheme="minorHAnsi"/>
          <w:b/>
          <w:sz w:val="22"/>
          <w:szCs w:val="22"/>
        </w:rPr>
        <w:t>Cost</w:t>
      </w:r>
    </w:p>
    <w:p w14:paraId="369251BA" w14:textId="77777777" w:rsidR="007625FD" w:rsidRPr="00BD416F" w:rsidRDefault="007625FD" w:rsidP="00BD416F">
      <w:pPr>
        <w:spacing w:after="240"/>
        <w:jc w:val="both"/>
        <w:rPr>
          <w:rFonts w:cstheme="minorHAnsi"/>
        </w:rPr>
      </w:pPr>
      <w:r w:rsidRPr="00BD416F">
        <w:rPr>
          <w:rFonts w:cstheme="minorHAnsi"/>
        </w:rPr>
        <w:t>Any fees charged by the UPI Service Provider(s) should be based on cost recovery and should be allocated among stakeholders fairly. For Authorities, use of the UPI System should be free.</w:t>
      </w:r>
    </w:p>
    <w:p w14:paraId="2656297C" w14:textId="77777777" w:rsidR="007625FD" w:rsidRPr="00BD416F" w:rsidRDefault="007625FD" w:rsidP="00BD416F">
      <w:pPr>
        <w:pStyle w:val="ListParagraph"/>
        <w:numPr>
          <w:ilvl w:val="0"/>
          <w:numId w:val="6"/>
        </w:numPr>
        <w:autoSpaceDE/>
        <w:autoSpaceDN/>
        <w:adjustRightInd/>
        <w:spacing w:before="0" w:line="276" w:lineRule="auto"/>
        <w:ind w:right="0"/>
        <w:contextualSpacing/>
        <w:jc w:val="both"/>
        <w:rPr>
          <w:rFonts w:cstheme="minorHAnsi"/>
          <w:b/>
          <w:bCs/>
          <w:sz w:val="22"/>
          <w:szCs w:val="22"/>
        </w:rPr>
      </w:pPr>
      <w:r w:rsidRPr="00BD416F">
        <w:rPr>
          <w:rFonts w:cstheme="minorHAnsi"/>
          <w:b/>
          <w:bCs/>
          <w:sz w:val="22"/>
          <w:szCs w:val="22"/>
        </w:rPr>
        <w:t>Intellectual property</w:t>
      </w:r>
    </w:p>
    <w:p w14:paraId="52823683" w14:textId="672C28AA" w:rsidR="007625FD" w:rsidRPr="00BD416F" w:rsidRDefault="007625FD" w:rsidP="00BD416F">
      <w:pPr>
        <w:jc w:val="both"/>
        <w:rPr>
          <w:rFonts w:cstheme="minorHAnsi"/>
        </w:rPr>
      </w:pPr>
      <w:r w:rsidRPr="00BD416F">
        <w:rPr>
          <w:rFonts w:cstheme="minorHAnsi"/>
        </w:rPr>
        <w:t xml:space="preserve">The UPI Data Standard should not be subject to any intellectual property restriction. Consistent with this, the use of any UPI Code should be free of licensing restrictions. As to the UPI Reference Data Library, intellectual property restrictions should be applied in a manner consistent with the rules applicable </w:t>
      </w:r>
      <w:r w:rsidR="00D86330" w:rsidRPr="00BD416F">
        <w:rPr>
          <w:rFonts w:cstheme="minorHAnsi"/>
        </w:rPr>
        <w:t>in each</w:t>
      </w:r>
      <w:r w:rsidRPr="00BD416F">
        <w:rPr>
          <w:rFonts w:cstheme="minorHAnsi"/>
        </w:rPr>
        <w:t xml:space="preserve"> jurisdiction.</w:t>
      </w:r>
    </w:p>
    <w:p w14:paraId="68722FD5" w14:textId="77777777" w:rsidR="007625FD" w:rsidRPr="00BD416F" w:rsidRDefault="007625FD" w:rsidP="00BD416F">
      <w:pPr>
        <w:pStyle w:val="ListParagraph"/>
        <w:numPr>
          <w:ilvl w:val="0"/>
          <w:numId w:val="6"/>
        </w:numPr>
        <w:autoSpaceDE/>
        <w:autoSpaceDN/>
        <w:adjustRightInd/>
        <w:spacing w:before="0" w:line="276" w:lineRule="auto"/>
        <w:ind w:right="0"/>
        <w:contextualSpacing/>
        <w:jc w:val="both"/>
        <w:rPr>
          <w:rFonts w:cstheme="minorHAnsi"/>
          <w:b/>
          <w:bCs/>
          <w:sz w:val="22"/>
          <w:szCs w:val="22"/>
        </w:rPr>
      </w:pPr>
      <w:r w:rsidRPr="00BD416F">
        <w:rPr>
          <w:rFonts w:cstheme="minorHAnsi"/>
          <w:b/>
          <w:sz w:val="22"/>
          <w:szCs w:val="22"/>
        </w:rPr>
        <w:t>Conflicts of interest</w:t>
      </w:r>
    </w:p>
    <w:p w14:paraId="7FA1DBF6" w14:textId="77777777" w:rsidR="007625FD" w:rsidRPr="00BD416F" w:rsidRDefault="007625FD" w:rsidP="00BD416F">
      <w:pPr>
        <w:jc w:val="both"/>
        <w:rPr>
          <w:rFonts w:cstheme="minorHAnsi"/>
        </w:rPr>
      </w:pPr>
      <w:r w:rsidRPr="00BD416F">
        <w:rPr>
          <w:rFonts w:cstheme="minorHAnsi"/>
        </w:rPr>
        <w:t>The UPI Service Provider(s) should have policies and procedures that are reasonably designed to detect and effectively manage any potential conflict of interest. Access to the UPI should not be tied or bundled with any other services offered by a UPI Service Provider.</w:t>
      </w:r>
    </w:p>
    <w:p w14:paraId="7F80678C" w14:textId="77777777" w:rsidR="007625FD" w:rsidRPr="00BD416F" w:rsidRDefault="007625FD" w:rsidP="00BD416F">
      <w:pPr>
        <w:pStyle w:val="ListParagraph"/>
        <w:numPr>
          <w:ilvl w:val="0"/>
          <w:numId w:val="6"/>
        </w:numPr>
        <w:autoSpaceDE/>
        <w:autoSpaceDN/>
        <w:adjustRightInd/>
        <w:spacing w:before="0" w:line="276" w:lineRule="auto"/>
        <w:ind w:right="0"/>
        <w:contextualSpacing/>
        <w:jc w:val="both"/>
        <w:rPr>
          <w:rFonts w:cstheme="minorHAnsi"/>
          <w:b/>
          <w:bCs/>
          <w:sz w:val="22"/>
          <w:szCs w:val="22"/>
        </w:rPr>
      </w:pPr>
      <w:r w:rsidRPr="00BD416F">
        <w:rPr>
          <w:rFonts w:cstheme="minorHAnsi"/>
          <w:b/>
          <w:bCs/>
          <w:sz w:val="22"/>
          <w:szCs w:val="22"/>
        </w:rPr>
        <w:t>Fit for purpose</w:t>
      </w:r>
    </w:p>
    <w:p w14:paraId="7C11575F" w14:textId="77777777" w:rsidR="007625FD" w:rsidRPr="00BD416F" w:rsidRDefault="007625FD" w:rsidP="00BD416F">
      <w:pPr>
        <w:jc w:val="both"/>
        <w:rPr>
          <w:rFonts w:cstheme="minorHAnsi"/>
        </w:rPr>
      </w:pPr>
      <w:r w:rsidRPr="00BD416F">
        <w:rPr>
          <w:rFonts w:cstheme="minorHAnsi"/>
        </w:rPr>
        <w:lastRenderedPageBreak/>
        <w:t>UPI Governance Arrangements should be able to perform the relevant functions identified in a timely and efficient manner and should have reasonable access to the necessary resources and information to do this. UPI Governance Arrangements should maintain the fitness of the UPI System and UPI Technical Guidance for the needs of Authorities.</w:t>
      </w:r>
    </w:p>
    <w:p w14:paraId="4051DEE8" w14:textId="77777777" w:rsidR="007625FD" w:rsidRPr="00BD416F" w:rsidRDefault="007625FD" w:rsidP="00BD416F">
      <w:pPr>
        <w:pStyle w:val="ListParagraph"/>
        <w:numPr>
          <w:ilvl w:val="0"/>
          <w:numId w:val="6"/>
        </w:numPr>
        <w:autoSpaceDE/>
        <w:autoSpaceDN/>
        <w:adjustRightInd/>
        <w:spacing w:before="0" w:line="276" w:lineRule="auto"/>
        <w:ind w:right="0"/>
        <w:contextualSpacing/>
        <w:jc w:val="both"/>
        <w:rPr>
          <w:rFonts w:cstheme="minorHAnsi"/>
          <w:b/>
          <w:bCs/>
          <w:sz w:val="22"/>
          <w:szCs w:val="22"/>
        </w:rPr>
      </w:pPr>
      <w:r w:rsidRPr="00BD416F">
        <w:rPr>
          <w:rFonts w:cstheme="minorHAnsi"/>
          <w:b/>
          <w:bCs/>
          <w:sz w:val="22"/>
          <w:szCs w:val="22"/>
        </w:rPr>
        <w:t>Consideration of other Governance Frameworks</w:t>
      </w:r>
    </w:p>
    <w:p w14:paraId="1FE14CD0" w14:textId="77777777" w:rsidR="007625FD" w:rsidRPr="00BD416F" w:rsidRDefault="007625FD" w:rsidP="00BD416F">
      <w:pPr>
        <w:jc w:val="both"/>
        <w:rPr>
          <w:rFonts w:cstheme="minorHAnsi"/>
        </w:rPr>
      </w:pPr>
      <w:r w:rsidRPr="00BD416F">
        <w:rPr>
          <w:rFonts w:cstheme="minorHAnsi"/>
        </w:rPr>
        <w:t>Governance Frameworks for the UPI should take into consideration other Governance Frameworks that impact other data elements, such as the LEI, the UTI, and other critical data elements for OTC derivatives.</w:t>
      </w:r>
    </w:p>
    <w:p w14:paraId="214C9BEF" w14:textId="77777777" w:rsidR="007625FD" w:rsidRPr="00BD416F" w:rsidRDefault="007625FD" w:rsidP="00BD416F">
      <w:pPr>
        <w:pStyle w:val="ListParagraph"/>
        <w:numPr>
          <w:ilvl w:val="0"/>
          <w:numId w:val="6"/>
        </w:numPr>
        <w:autoSpaceDE/>
        <w:autoSpaceDN/>
        <w:adjustRightInd/>
        <w:spacing w:before="0" w:line="276" w:lineRule="auto"/>
        <w:ind w:right="0"/>
        <w:contextualSpacing/>
        <w:jc w:val="both"/>
        <w:rPr>
          <w:rFonts w:cstheme="minorHAnsi"/>
          <w:b/>
          <w:bCs/>
          <w:sz w:val="22"/>
          <w:szCs w:val="22"/>
        </w:rPr>
      </w:pPr>
      <w:r w:rsidRPr="00BD416F">
        <w:rPr>
          <w:rFonts w:cstheme="minorHAnsi"/>
          <w:b/>
          <w:bCs/>
          <w:sz w:val="22"/>
          <w:szCs w:val="22"/>
        </w:rPr>
        <w:t>Operational viability and continuity of UPI Service Provider operations</w:t>
      </w:r>
    </w:p>
    <w:p w14:paraId="1306E789" w14:textId="1C2AC788" w:rsidR="007625FD" w:rsidRPr="00BD416F" w:rsidRDefault="007625FD" w:rsidP="00BD416F">
      <w:pPr>
        <w:spacing w:after="360"/>
        <w:jc w:val="both"/>
        <w:rPr>
          <w:rFonts w:cstheme="minorHAnsi"/>
        </w:rPr>
      </w:pPr>
      <w:r w:rsidRPr="00BD416F">
        <w:rPr>
          <w:rFonts w:cstheme="minorHAnsi"/>
        </w:rPr>
        <w:t xml:space="preserve">Governance of the UPI System should be such that any UPI Service Provider should be required to have adequate resources, legal authorities, and reasonable policies and procedures in place designated or adequate to ensure operational viability, system security, and business and system continuity and succession, </w:t>
      </w:r>
      <w:r w:rsidR="00D86330" w:rsidRPr="00BD416F">
        <w:rPr>
          <w:rFonts w:cstheme="minorHAnsi"/>
        </w:rPr>
        <w:t>to</w:t>
      </w:r>
      <w:r w:rsidRPr="00BD416F">
        <w:rPr>
          <w:rFonts w:cstheme="minorHAnsi"/>
        </w:rPr>
        <w:t xml:space="preserve"> enable it to operate securely and effectively as a UPI Service Provider.</w:t>
      </w:r>
    </w:p>
    <w:p w14:paraId="0AED1FBB" w14:textId="77777777" w:rsidR="007625FD" w:rsidRPr="006B3EDC" w:rsidRDefault="007625FD" w:rsidP="007625FD">
      <w:pPr>
        <w:spacing w:after="360"/>
        <w:rPr>
          <w:rFonts w:cstheme="minorHAnsi"/>
        </w:rPr>
      </w:pPr>
    </w:p>
    <w:p w14:paraId="45E6FBCF" w14:textId="77777777" w:rsidR="007625FD" w:rsidRPr="003F18D1" w:rsidRDefault="007625FD" w:rsidP="007625FD">
      <w:pPr>
        <w:pStyle w:val="Heading1"/>
        <w:spacing w:before="0" w:line="276" w:lineRule="auto"/>
        <w:jc w:val="both"/>
        <w:rPr>
          <w:color w:val="30AEB9"/>
        </w:rPr>
      </w:pPr>
      <w:bookmarkStart w:id="39" w:name="_Ref81936004"/>
      <w:bookmarkStart w:id="40" w:name="_Toc86680468"/>
      <w:r w:rsidRPr="003F18D1">
        <w:rPr>
          <w:color w:val="30AEB9"/>
        </w:rPr>
        <w:t>Assumptions</w:t>
      </w:r>
      <w:bookmarkEnd w:id="39"/>
      <w:bookmarkEnd w:id="40"/>
      <w:r w:rsidRPr="003F18D1">
        <w:rPr>
          <w:color w:val="30AEB9"/>
        </w:rPr>
        <w:t xml:space="preserve"> </w:t>
      </w:r>
    </w:p>
    <w:p w14:paraId="49571ADA" w14:textId="70CB958C" w:rsidR="007625FD" w:rsidRDefault="007625FD" w:rsidP="007625FD">
      <w:pPr>
        <w:spacing w:after="240"/>
        <w:jc w:val="both"/>
        <w:rPr>
          <w:rFonts w:cstheme="minorHAnsi"/>
        </w:rPr>
      </w:pPr>
      <w:r w:rsidRPr="009F5C43">
        <w:rPr>
          <w:rFonts w:cstheme="minorHAnsi"/>
        </w:rPr>
        <w:t>The DSB</w:t>
      </w:r>
      <w:r w:rsidRPr="003034AA">
        <w:rPr>
          <w:rFonts w:cstheme="minorHAnsi"/>
        </w:rPr>
        <w:t xml:space="preserve"> assumptions set out below underpin the core approach for the </w:t>
      </w:r>
      <w:r w:rsidR="00F07F21">
        <w:rPr>
          <w:rFonts w:cstheme="minorHAnsi"/>
        </w:rPr>
        <w:t>UPI Service</w:t>
      </w:r>
      <w:r w:rsidRPr="003034AA">
        <w:rPr>
          <w:rFonts w:cstheme="minorHAnsi"/>
        </w:rPr>
        <w:t xml:space="preserve"> implementation, and thus impact </w:t>
      </w:r>
      <w:r>
        <w:rPr>
          <w:rFonts w:cstheme="minorHAnsi"/>
        </w:rPr>
        <w:t>the legal terms and conditions that apply to the cost recovery</w:t>
      </w:r>
      <w:r>
        <w:rPr>
          <w:rStyle w:val="FootnoteReference"/>
          <w:rFonts w:cstheme="minorHAnsi"/>
        </w:rPr>
        <w:footnoteReference w:id="33"/>
      </w:r>
      <w:r>
        <w:rPr>
          <w:rFonts w:cstheme="minorHAnsi"/>
        </w:rPr>
        <w:t xml:space="preserve"> service. Estimated costs will be included in the next consultation, including a breakdown of the key cost components subject to the feedback received in this paper. </w:t>
      </w:r>
    </w:p>
    <w:p w14:paraId="2DADF131" w14:textId="3F402257" w:rsidR="007625FD" w:rsidRDefault="007625FD" w:rsidP="007625FD">
      <w:pPr>
        <w:spacing w:after="240"/>
        <w:jc w:val="both"/>
        <w:rPr>
          <w:rFonts w:cstheme="minorHAnsi"/>
        </w:rPr>
      </w:pPr>
      <w:r w:rsidRPr="003034AA">
        <w:rPr>
          <w:rFonts w:cstheme="minorHAnsi"/>
        </w:rPr>
        <w:t xml:space="preserve">This section includes </w:t>
      </w:r>
      <w:r w:rsidRPr="009A53EF">
        <w:rPr>
          <w:rFonts w:cstheme="minorHAnsi"/>
        </w:rPr>
        <w:t xml:space="preserve">DSB expectations about </w:t>
      </w:r>
      <w:r w:rsidRPr="006B3EDC">
        <w:rPr>
          <w:rFonts w:cstheme="minorHAnsi"/>
        </w:rPr>
        <w:t xml:space="preserve">jurisdictions’ existing or proposed regulatory adoption of rules </w:t>
      </w:r>
      <w:r>
        <w:rPr>
          <w:rFonts w:cstheme="minorHAnsi"/>
        </w:rPr>
        <w:t>implementing</w:t>
      </w:r>
      <w:r w:rsidRPr="001E12ED">
        <w:rPr>
          <w:rFonts w:cstheme="minorHAnsi"/>
        </w:rPr>
        <w:t xml:space="preserve"> UPI</w:t>
      </w:r>
      <w:r w:rsidRPr="006B3EDC">
        <w:rPr>
          <w:rFonts w:cstheme="minorHAnsi"/>
        </w:rPr>
        <w:t xml:space="preserve"> as a product identifier, the estimated number of UPIs to be created (based on the data elements specified in the UPI Technical Guidance document and available to the DSB via an existing service, the OTC </w:t>
      </w:r>
      <w:r w:rsidR="00F07F21">
        <w:rPr>
          <w:rFonts w:cstheme="minorHAnsi"/>
        </w:rPr>
        <w:t>ISIN Service</w:t>
      </w:r>
      <w:r w:rsidRPr="006B3EDC">
        <w:rPr>
          <w:rFonts w:cstheme="minorHAnsi"/>
        </w:rPr>
        <w:t xml:space="preserve"> provision), DSB expectations regarding alignment of the UPI with other international standards, and the existing service model that the DSB seeks to leverage in application of the Lean governance criteria,</w:t>
      </w:r>
      <w:r w:rsidRPr="003F5F8A">
        <w:rPr>
          <w:rStyle w:val="normaltextrun"/>
          <w:rFonts w:cstheme="minorHAnsi"/>
          <w:color w:val="000000"/>
        </w:rPr>
        <w:t xml:space="preserve"> described </w:t>
      </w:r>
      <w:r w:rsidRPr="00906380">
        <w:rPr>
          <w:rStyle w:val="normaltextrun"/>
          <w:rFonts w:cstheme="minorHAnsi"/>
          <w:color w:val="000000"/>
        </w:rPr>
        <w:t xml:space="preserve">in </w:t>
      </w:r>
      <w:r w:rsidRPr="00922E89">
        <w:rPr>
          <w:rStyle w:val="normaltextrun"/>
          <w:rFonts w:cstheme="minorHAnsi"/>
          <w:color w:val="000000"/>
        </w:rPr>
        <w:t>section</w:t>
      </w:r>
      <w:r w:rsidRPr="00906380">
        <w:rPr>
          <w:rStyle w:val="normaltextrun"/>
          <w:rFonts w:cstheme="minorHAnsi"/>
          <w:i/>
          <w:color w:val="000000"/>
        </w:rPr>
        <w:t xml:space="preserve">  </w:t>
      </w:r>
      <w:r w:rsidRPr="00922E89">
        <w:rPr>
          <w:rStyle w:val="normaltextrun"/>
          <w:rFonts w:cstheme="minorHAnsi"/>
          <w:color w:val="000000"/>
        </w:rPr>
        <w:fldChar w:fldCharType="begin"/>
      </w:r>
      <w:r w:rsidRPr="00922E89">
        <w:rPr>
          <w:rStyle w:val="normaltextrun"/>
          <w:rFonts w:cstheme="minorHAnsi"/>
          <w:color w:val="000000"/>
        </w:rPr>
        <w:instrText xml:space="preserve"> REF _Ref83379769 \r \h </w:instrText>
      </w:r>
      <w:r w:rsidRPr="00906380">
        <w:rPr>
          <w:rStyle w:val="normaltextrun"/>
          <w:rFonts w:cstheme="minorHAnsi"/>
          <w:color w:val="000000"/>
        </w:rPr>
        <w:instrText xml:space="preserve"> \* MERGEFORMAT </w:instrText>
      </w:r>
      <w:r w:rsidRPr="00922E89">
        <w:rPr>
          <w:rStyle w:val="normaltextrun"/>
          <w:rFonts w:cstheme="minorHAnsi"/>
          <w:color w:val="000000"/>
        </w:rPr>
      </w:r>
      <w:r w:rsidRPr="00922E89">
        <w:rPr>
          <w:rStyle w:val="normaltextrun"/>
          <w:rFonts w:cstheme="minorHAnsi"/>
          <w:color w:val="000000"/>
        </w:rPr>
        <w:fldChar w:fldCharType="separate"/>
      </w:r>
      <w:r w:rsidRPr="00922E89">
        <w:rPr>
          <w:rStyle w:val="normaltextrun"/>
          <w:rFonts w:cstheme="minorHAnsi"/>
          <w:color w:val="000000"/>
        </w:rPr>
        <w:t>3.2</w:t>
      </w:r>
      <w:r w:rsidRPr="00922E89">
        <w:rPr>
          <w:rStyle w:val="normaltextrun"/>
          <w:rFonts w:cstheme="minorHAnsi"/>
          <w:color w:val="000000"/>
        </w:rPr>
        <w:fldChar w:fldCharType="end"/>
      </w:r>
      <w:r w:rsidRPr="00906380">
        <w:rPr>
          <w:rStyle w:val="normaltextrun"/>
          <w:rFonts w:cstheme="minorHAnsi"/>
          <w:i/>
          <w:color w:val="000000"/>
        </w:rPr>
        <w:t xml:space="preserve">, </w:t>
      </w:r>
      <w:r w:rsidRPr="00906380">
        <w:rPr>
          <w:rFonts w:cstheme="minorHAnsi"/>
        </w:rPr>
        <w:t>in order to minimize delivery and implementation costs accrued by clients.</w:t>
      </w:r>
      <w:r w:rsidRPr="009F5C43">
        <w:rPr>
          <w:rFonts w:cstheme="minorHAnsi"/>
        </w:rPr>
        <w:t xml:space="preserve">  </w:t>
      </w:r>
    </w:p>
    <w:p w14:paraId="050AB008" w14:textId="21D8625C" w:rsidR="007625FD" w:rsidRPr="009F5C43" w:rsidRDefault="007625FD" w:rsidP="007625FD">
      <w:pPr>
        <w:spacing w:after="240"/>
        <w:jc w:val="both"/>
        <w:rPr>
          <w:rFonts w:cstheme="minorHAnsi"/>
        </w:rPr>
      </w:pPr>
      <w:r>
        <w:rPr>
          <w:rFonts w:cstheme="minorHAnsi"/>
        </w:rPr>
        <w:t xml:space="preserve">The DSB </w:t>
      </w:r>
      <w:proofErr w:type="spellStart"/>
      <w:r>
        <w:rPr>
          <w:rFonts w:cstheme="minorHAnsi"/>
        </w:rPr>
        <w:t>recognises</w:t>
      </w:r>
      <w:proofErr w:type="spellEnd"/>
      <w:r>
        <w:rPr>
          <w:rFonts w:cstheme="minorHAnsi"/>
        </w:rPr>
        <w:t xml:space="preserve"> the need for revaluation of the scope and structure of the legal documentation following initial adoption of the </w:t>
      </w:r>
      <w:r w:rsidR="00F07F21">
        <w:rPr>
          <w:rFonts w:cstheme="minorHAnsi"/>
        </w:rPr>
        <w:t>UPI Service</w:t>
      </w:r>
      <w:r>
        <w:rPr>
          <w:rFonts w:cstheme="minorHAnsi"/>
        </w:rPr>
        <w:t xml:space="preserve"> to ensure that that it remains fit for purpose. As such, the DSB intends to consult on the key aspects underlying the legal documentation 2 years after launch of the </w:t>
      </w:r>
      <w:r w:rsidR="00F07F21">
        <w:rPr>
          <w:rFonts w:cstheme="minorHAnsi"/>
        </w:rPr>
        <w:t>UPI Service</w:t>
      </w:r>
      <w:r>
        <w:rPr>
          <w:rFonts w:cstheme="minorHAnsi"/>
        </w:rPr>
        <w:t xml:space="preserve">. </w:t>
      </w:r>
    </w:p>
    <w:p w14:paraId="060FE479" w14:textId="77777777" w:rsidR="007625FD" w:rsidRDefault="007625FD" w:rsidP="007625FD">
      <w:pPr>
        <w:pStyle w:val="Heading2"/>
        <w:spacing w:line="276" w:lineRule="auto"/>
      </w:pPr>
      <w:bookmarkStart w:id="41" w:name="_Toc86680469"/>
      <w:r>
        <w:t>Leveraging the DSB’s Existing Service Provision and Common Agreement</w:t>
      </w:r>
      <w:bookmarkEnd w:id="41"/>
      <w:r>
        <w:t xml:space="preserve"> </w:t>
      </w:r>
    </w:p>
    <w:p w14:paraId="2ABCA6F6" w14:textId="77777777" w:rsidR="007625FD" w:rsidRPr="00B56B63" w:rsidRDefault="007625FD" w:rsidP="007625FD">
      <w:pPr>
        <w:jc w:val="both"/>
      </w:pPr>
      <w:r w:rsidRPr="003F5F8A">
        <w:t>Leveraging the DSB’s existing service provision seeks to provide two primary benefits – the first is a r</w:t>
      </w:r>
      <w:r w:rsidRPr="009F5C43">
        <w:t xml:space="preserve">eduction of the UPI </w:t>
      </w:r>
      <w:r>
        <w:t>User</w:t>
      </w:r>
      <w:r w:rsidRPr="009F5C43">
        <w:t xml:space="preserve"> fee </w:t>
      </w:r>
      <w:r w:rsidRPr="00B56B63">
        <w:t xml:space="preserve">burden by minimizing implementation and run costs for the DSB, and the </w:t>
      </w:r>
      <w:r w:rsidRPr="00B56B63">
        <w:lastRenderedPageBreak/>
        <w:t xml:space="preserve">second is a reduction of the </w:t>
      </w:r>
      <w:r>
        <w:t>User</w:t>
      </w:r>
      <w:r w:rsidRPr="00B56B63">
        <w:t xml:space="preserve">’s own technology burden so that the several hundred institutions already connected to the DSB can overlay their UPI related workflows in a manner that is more integrated with their other OTC derivative reference data needs. </w:t>
      </w:r>
    </w:p>
    <w:p w14:paraId="225DFD44" w14:textId="77777777" w:rsidR="007625FD" w:rsidRPr="00B56B63" w:rsidRDefault="007625FD" w:rsidP="007625FD">
      <w:pPr>
        <w:jc w:val="both"/>
      </w:pPr>
      <w:r w:rsidRPr="00B56B63">
        <w:t xml:space="preserve">The DSB is the golden source of the OTC ISIN, CFI and FISN for OTC derivative instruments, for institutions located in or trading with counterparties in the European Union (EU) and the United Kingdom (UK). </w:t>
      </w:r>
    </w:p>
    <w:p w14:paraId="0AC9E1A3" w14:textId="77777777" w:rsidR="007625FD" w:rsidRPr="00906380" w:rsidRDefault="007625FD" w:rsidP="007625FD">
      <w:pPr>
        <w:jc w:val="both"/>
      </w:pPr>
      <w:r w:rsidRPr="00B56B63">
        <w:t xml:space="preserve">The allocation of ISINs, CFI and FISNs for OTC derivatives as well as the provision of access to the OTC ISIN archive and associated reference data, comprise the numbering agency function of the DSB. This function is overseen by ANNA as the Registration Authority for ISIN and FISN standards under contract with the ISO requiring strict adherence to principles over business and technical operations. This includes limiting </w:t>
      </w:r>
      <w:r>
        <w:t>User</w:t>
      </w:r>
      <w:r w:rsidRPr="00B56B63">
        <w:t xml:space="preserve"> fees to cost recovery and requiring reasonable and non-discriminatory (RAND) access to data.</w:t>
      </w:r>
      <w:r>
        <w:t xml:space="preserve"> With these principles aligning with the UPI Governance Criteria of Cost Recovery and Open Access</w:t>
      </w:r>
      <w:r w:rsidRPr="002C6F7E">
        <w:rPr>
          <w:rStyle w:val="normaltextrun"/>
          <w:rFonts w:ascii="Calibri" w:hAnsi="Calibri" w:cs="Calibri"/>
          <w:color w:val="000000"/>
        </w:rPr>
        <w:t xml:space="preserve"> </w:t>
      </w:r>
      <w:r w:rsidRPr="00906380">
        <w:rPr>
          <w:rStyle w:val="normaltextrun"/>
          <w:rFonts w:ascii="Calibri" w:hAnsi="Calibri" w:cs="Calibri"/>
          <w:color w:val="000000"/>
        </w:rPr>
        <w:t xml:space="preserve">described in </w:t>
      </w:r>
      <w:r w:rsidRPr="00922E89">
        <w:rPr>
          <w:rStyle w:val="normaltextrun"/>
          <w:rFonts w:cstheme="minorHAnsi"/>
          <w:color w:val="000000"/>
        </w:rPr>
        <w:t>section</w:t>
      </w:r>
      <w:r w:rsidRPr="00906380">
        <w:rPr>
          <w:rStyle w:val="normaltextrun"/>
          <w:rFonts w:cstheme="minorHAnsi"/>
          <w:i/>
          <w:color w:val="000000"/>
        </w:rPr>
        <w:t xml:space="preserve"> </w:t>
      </w:r>
      <w:r w:rsidRPr="00906380">
        <w:rPr>
          <w:rStyle w:val="normaltextrun"/>
          <w:rFonts w:cstheme="minorHAnsi"/>
          <w:color w:val="000000"/>
        </w:rPr>
        <w:fldChar w:fldCharType="begin"/>
      </w:r>
      <w:r w:rsidRPr="00906380">
        <w:rPr>
          <w:rStyle w:val="normaltextrun"/>
          <w:rFonts w:cstheme="minorHAnsi"/>
          <w:color w:val="000000"/>
        </w:rPr>
        <w:instrText xml:space="preserve"> REF _Ref83379769 \r \h  \* MERGEFORMAT </w:instrText>
      </w:r>
      <w:r w:rsidRPr="00906380">
        <w:rPr>
          <w:rStyle w:val="normaltextrun"/>
          <w:rFonts w:cstheme="minorHAnsi"/>
          <w:color w:val="000000"/>
        </w:rPr>
      </w:r>
      <w:r w:rsidRPr="00906380">
        <w:rPr>
          <w:rStyle w:val="normaltextrun"/>
          <w:rFonts w:cstheme="minorHAnsi"/>
          <w:color w:val="000000"/>
        </w:rPr>
        <w:fldChar w:fldCharType="separate"/>
      </w:r>
      <w:r w:rsidRPr="00906380">
        <w:rPr>
          <w:rStyle w:val="normaltextrun"/>
          <w:rFonts w:cstheme="minorHAnsi"/>
          <w:color w:val="000000"/>
        </w:rPr>
        <w:t>3.2</w:t>
      </w:r>
      <w:r w:rsidRPr="00906380">
        <w:rPr>
          <w:rStyle w:val="normaltextrun"/>
          <w:rFonts w:cstheme="minorHAnsi"/>
          <w:color w:val="000000"/>
        </w:rPr>
        <w:fldChar w:fldCharType="end"/>
      </w:r>
      <w:r w:rsidRPr="00906380">
        <w:t>.</w:t>
      </w:r>
    </w:p>
    <w:p w14:paraId="7DE1EC13" w14:textId="77777777" w:rsidR="007625FD" w:rsidRPr="003F5F8A" w:rsidRDefault="007625FD" w:rsidP="007625FD">
      <w:pPr>
        <w:jc w:val="both"/>
      </w:pPr>
      <w:r w:rsidRPr="00906380">
        <w:t xml:space="preserve">Implementation of OTC ISIN, FISN and CFI codes for OTC derivatives has been achieved through ongoing, collaborative work with market participants, </w:t>
      </w:r>
      <w:proofErr w:type="gramStart"/>
      <w:r w:rsidRPr="00906380">
        <w:t>regulators</w:t>
      </w:r>
      <w:proofErr w:type="gramEnd"/>
      <w:r w:rsidRPr="00906380">
        <w:t xml:space="preserve"> and other standards bodies. The DSB </w:t>
      </w:r>
      <w:proofErr w:type="spellStart"/>
      <w:r w:rsidRPr="00906380">
        <w:t>utilises</w:t>
      </w:r>
      <w:proofErr w:type="spellEnd"/>
      <w:r w:rsidRPr="00906380">
        <w:t xml:space="preserve"> a Consultative Change Process, also specified within the UPI </w:t>
      </w:r>
      <w:r>
        <w:t>G</w:t>
      </w:r>
      <w:r w:rsidRPr="00906380">
        <w:t>overnance</w:t>
      </w:r>
      <w:r w:rsidRPr="00906380" w:rsidDel="0037750E">
        <w:t xml:space="preserve"> </w:t>
      </w:r>
      <w:r>
        <w:t>C</w:t>
      </w:r>
      <w:r w:rsidRPr="00906380">
        <w:t>riteria</w:t>
      </w:r>
      <w:r w:rsidRPr="00906380">
        <w:rPr>
          <w:rStyle w:val="normaltextrun"/>
          <w:rFonts w:ascii="Calibri" w:hAnsi="Calibri" w:cs="Calibri"/>
          <w:color w:val="000000"/>
        </w:rPr>
        <w:t xml:space="preserve"> described in </w:t>
      </w:r>
      <w:r w:rsidRPr="00922E89" w:rsidDel="00D00ECA">
        <w:rPr>
          <w:rStyle w:val="normaltextrun"/>
          <w:rFonts w:cstheme="minorHAnsi"/>
          <w:color w:val="000000"/>
        </w:rPr>
        <w:t>section</w:t>
      </w:r>
      <w:r w:rsidRPr="00906380">
        <w:rPr>
          <w:rStyle w:val="normaltextrun"/>
          <w:rFonts w:cstheme="minorHAnsi"/>
          <w:i/>
          <w:color w:val="000000"/>
        </w:rPr>
        <w:t xml:space="preserve"> </w:t>
      </w:r>
      <w:r w:rsidRPr="00906380">
        <w:rPr>
          <w:rStyle w:val="normaltextrun"/>
          <w:rFonts w:cstheme="minorHAnsi"/>
          <w:color w:val="000000"/>
        </w:rPr>
        <w:fldChar w:fldCharType="begin"/>
      </w:r>
      <w:r w:rsidRPr="00906380">
        <w:rPr>
          <w:rStyle w:val="normaltextrun"/>
          <w:rFonts w:cstheme="minorHAnsi"/>
          <w:color w:val="000000"/>
        </w:rPr>
        <w:instrText xml:space="preserve"> REF _Ref83379769 \r \h  \* MERGEFORMAT </w:instrText>
      </w:r>
      <w:r w:rsidRPr="00906380">
        <w:rPr>
          <w:rStyle w:val="normaltextrun"/>
          <w:rFonts w:cstheme="minorHAnsi"/>
          <w:color w:val="000000"/>
        </w:rPr>
      </w:r>
      <w:r w:rsidRPr="00906380">
        <w:rPr>
          <w:rStyle w:val="normaltextrun"/>
          <w:rFonts w:cstheme="minorHAnsi"/>
          <w:color w:val="000000"/>
        </w:rPr>
        <w:fldChar w:fldCharType="separate"/>
      </w:r>
      <w:r w:rsidRPr="00906380">
        <w:rPr>
          <w:rStyle w:val="normaltextrun"/>
          <w:rFonts w:cstheme="minorHAnsi"/>
          <w:color w:val="000000"/>
        </w:rPr>
        <w:t>3.2</w:t>
      </w:r>
      <w:r w:rsidRPr="00906380">
        <w:rPr>
          <w:rStyle w:val="normaltextrun"/>
          <w:rFonts w:cstheme="minorHAnsi"/>
          <w:color w:val="000000"/>
        </w:rPr>
        <w:fldChar w:fldCharType="end"/>
      </w:r>
      <w:r w:rsidRPr="00906380">
        <w:t>, to allow for stakeholder</w:t>
      </w:r>
      <w:r w:rsidRPr="003F5F8A">
        <w:t xml:space="preserve"> input to shape the evolution of the service. </w:t>
      </w:r>
    </w:p>
    <w:p w14:paraId="5F2A8824" w14:textId="77777777" w:rsidR="007625FD" w:rsidRPr="00B56B63" w:rsidRDefault="007625FD" w:rsidP="007625FD">
      <w:pPr>
        <w:jc w:val="both"/>
      </w:pPr>
      <w:r w:rsidRPr="009F5C43">
        <w:t>In addition to the application of the cost recovery and RAND (unrestricted data and open access) principles, the DS</w:t>
      </w:r>
      <w:r w:rsidRPr="00B56B63">
        <w:t xml:space="preserve">B also ensures equal treatment of all </w:t>
      </w:r>
      <w:r>
        <w:t>User</w:t>
      </w:r>
      <w:r w:rsidRPr="00B56B63">
        <w:t xml:space="preserve">s through </w:t>
      </w:r>
      <w:proofErr w:type="spellStart"/>
      <w:r w:rsidRPr="00B56B63">
        <w:t>utilisation</w:t>
      </w:r>
      <w:proofErr w:type="spellEnd"/>
      <w:r w:rsidRPr="00B56B63">
        <w:t xml:space="preserve"> of a common agreement, and the levy of </w:t>
      </w:r>
      <w:r>
        <w:t>User</w:t>
      </w:r>
      <w:r w:rsidRPr="00B56B63">
        <w:t xml:space="preserve"> fees through annual contracts that require payment in advance. These principles aim to secure the financial sustainability of the DSB as well as provide parity and efficiency in delivery of service.</w:t>
      </w:r>
    </w:p>
    <w:p w14:paraId="7DB5B500" w14:textId="77777777" w:rsidR="007625FD" w:rsidRPr="00B56B63" w:rsidRDefault="007625FD" w:rsidP="007625FD">
      <w:pPr>
        <w:jc w:val="both"/>
      </w:pPr>
      <w:r w:rsidRPr="00B56B63">
        <w:t xml:space="preserve">The current level of OTC ISIN, CFI and FISN generated by the DSB is designed to enable </w:t>
      </w:r>
      <w:r>
        <w:t>User</w:t>
      </w:r>
      <w:r w:rsidRPr="00B56B63">
        <w:t>s to satisfy obligations under the European Regulations MiFID</w:t>
      </w:r>
      <w:r w:rsidRPr="003F5F8A">
        <w:rPr>
          <w:rStyle w:val="FootnoteReference"/>
        </w:rPr>
        <w:footnoteReference w:id="34"/>
      </w:r>
      <w:r w:rsidRPr="003F5F8A">
        <w:t xml:space="preserve"> II and MiFIR</w:t>
      </w:r>
      <w:r w:rsidRPr="003F5F8A">
        <w:rPr>
          <w:rStyle w:val="FootnoteReference"/>
        </w:rPr>
        <w:footnoteReference w:id="35"/>
      </w:r>
      <w:r w:rsidRPr="003F5F8A">
        <w:t>, with the capability of an identification hierarchy to be introduced as required by industry, such as UPI. This hierarchical framework, with specific consideration of t</w:t>
      </w:r>
      <w:r w:rsidRPr="009F5C43">
        <w:t xml:space="preserve">he UPI, was developed as part of the DSB core design following the recommendations from an ISO study group when defining the </w:t>
      </w:r>
      <w:r w:rsidRPr="00B56B63">
        <w:t xml:space="preserve">OTC ISIN. In addition, the CFI codes for OTC derivatives generated by the DSB assist industry’s regulatory reporting needs, demonstrating the value of consistently generated identifiers and classification codes that can be efficiently consumed by all </w:t>
      </w:r>
      <w:r>
        <w:t>User</w:t>
      </w:r>
      <w:r w:rsidRPr="00B56B63">
        <w:t xml:space="preserve">s of DSB data. </w:t>
      </w:r>
    </w:p>
    <w:p w14:paraId="3EEDBEBB" w14:textId="77777777" w:rsidR="007625FD" w:rsidRDefault="007625FD" w:rsidP="007625FD">
      <w:pPr>
        <w:jc w:val="both"/>
      </w:pPr>
      <w:r w:rsidRPr="00B56B63">
        <w:t xml:space="preserve">The DSB currently facilitates access for a broad spectrum of </w:t>
      </w:r>
      <w:r>
        <w:t>User</w:t>
      </w:r>
      <w:r w:rsidRPr="00B56B63">
        <w:t xml:space="preserve">s, including credit institutions, small brokerages, private wealth management firms, boutique asset managers, large, multi-segment and/or multi-market trading venues, derivatives </w:t>
      </w:r>
      <w:proofErr w:type="gramStart"/>
      <w:r w:rsidRPr="00B56B63">
        <w:t>houses</w:t>
      </w:r>
      <w:proofErr w:type="gramEnd"/>
      <w:r w:rsidRPr="00B56B63">
        <w:t xml:space="preserve"> from across the buy and sell-sides and universal-bank style sell-side institutions with multiple business segments within a single group holding structure. </w:t>
      </w:r>
    </w:p>
    <w:p w14:paraId="41BADDFB" w14:textId="77777777" w:rsidR="007625FD" w:rsidRPr="0061019A" w:rsidRDefault="007625FD" w:rsidP="007625FD">
      <w:pPr>
        <w:spacing w:after="60"/>
        <w:jc w:val="both"/>
      </w:pPr>
      <w:r>
        <w:t>Within t</w:t>
      </w:r>
      <w:r w:rsidRPr="00B56B63">
        <w:t>he DSB</w:t>
      </w:r>
      <w:r>
        <w:t xml:space="preserve"> existing service provision, access is provided </w:t>
      </w:r>
      <w:r w:rsidRPr="00B56B63">
        <w:t xml:space="preserve">to </w:t>
      </w:r>
      <w:r>
        <w:t>User</w:t>
      </w:r>
      <w:r w:rsidRPr="00B56B63">
        <w:t xml:space="preserve">s on the following basis: </w:t>
      </w:r>
    </w:p>
    <w:p w14:paraId="38E2BC0D" w14:textId="77777777" w:rsidR="007625FD" w:rsidRPr="0061019A" w:rsidRDefault="007625FD" w:rsidP="007625FD">
      <w:pPr>
        <w:pStyle w:val="ListParagraph"/>
        <w:numPr>
          <w:ilvl w:val="0"/>
          <w:numId w:val="5"/>
        </w:numPr>
        <w:autoSpaceDE/>
        <w:autoSpaceDN/>
        <w:adjustRightInd/>
        <w:spacing w:before="0" w:after="360" w:line="276" w:lineRule="auto"/>
        <w:ind w:right="0"/>
        <w:contextualSpacing/>
        <w:jc w:val="both"/>
        <w:rPr>
          <w:sz w:val="22"/>
          <w:szCs w:val="22"/>
        </w:rPr>
      </w:pPr>
      <w:r w:rsidRPr="0061019A">
        <w:rPr>
          <w:sz w:val="22"/>
          <w:szCs w:val="22"/>
          <w:u w:val="single"/>
        </w:rPr>
        <w:lastRenderedPageBreak/>
        <w:t xml:space="preserve">Power </w:t>
      </w:r>
      <w:r w:rsidRPr="0061019A" w:rsidDel="00D3207B">
        <w:rPr>
          <w:sz w:val="22"/>
          <w:szCs w:val="22"/>
          <w:u w:val="single"/>
        </w:rPr>
        <w:t>User</w:t>
      </w:r>
      <w:r w:rsidRPr="0061019A">
        <w:rPr>
          <w:sz w:val="22"/>
          <w:szCs w:val="22"/>
        </w:rPr>
        <w:t>: programmatic connectivity for high volume creation and search services (paid usage)</w:t>
      </w:r>
      <w:r w:rsidRPr="0061019A">
        <w:rPr>
          <w:rStyle w:val="FootnoteReference"/>
          <w:sz w:val="22"/>
          <w:szCs w:val="22"/>
        </w:rPr>
        <w:footnoteReference w:id="36"/>
      </w:r>
      <w:r w:rsidRPr="0061019A">
        <w:rPr>
          <w:sz w:val="22"/>
          <w:szCs w:val="22"/>
        </w:rPr>
        <w:t xml:space="preserve"> </w:t>
      </w:r>
    </w:p>
    <w:p w14:paraId="6D551EB4" w14:textId="77777777" w:rsidR="007625FD" w:rsidRPr="0061019A" w:rsidRDefault="007625FD" w:rsidP="007625FD">
      <w:pPr>
        <w:pStyle w:val="ListParagraph"/>
        <w:numPr>
          <w:ilvl w:val="0"/>
          <w:numId w:val="5"/>
        </w:numPr>
        <w:autoSpaceDE/>
        <w:autoSpaceDN/>
        <w:adjustRightInd/>
        <w:spacing w:before="0" w:after="360" w:line="276" w:lineRule="auto"/>
        <w:ind w:right="0"/>
        <w:contextualSpacing/>
        <w:jc w:val="both"/>
        <w:rPr>
          <w:sz w:val="22"/>
          <w:szCs w:val="22"/>
        </w:rPr>
      </w:pPr>
      <w:r w:rsidRPr="0061019A">
        <w:rPr>
          <w:sz w:val="22"/>
          <w:szCs w:val="22"/>
          <w:u w:val="single"/>
        </w:rPr>
        <w:t xml:space="preserve">Search-only API </w:t>
      </w:r>
      <w:r w:rsidRPr="0061019A" w:rsidDel="00D3207B">
        <w:rPr>
          <w:sz w:val="22"/>
          <w:szCs w:val="22"/>
          <w:u w:val="single"/>
        </w:rPr>
        <w:t>User</w:t>
      </w:r>
      <w:r w:rsidRPr="0061019A">
        <w:rPr>
          <w:sz w:val="22"/>
          <w:szCs w:val="22"/>
          <w:u w:val="single"/>
        </w:rPr>
        <w:t>:</w:t>
      </w:r>
      <w:r w:rsidRPr="0061019A">
        <w:rPr>
          <w:sz w:val="22"/>
          <w:szCs w:val="22"/>
        </w:rPr>
        <w:t xml:space="preserve"> low volume programmatic search services (paid usage) </w:t>
      </w:r>
    </w:p>
    <w:p w14:paraId="7587D360" w14:textId="77777777" w:rsidR="007625FD" w:rsidRPr="0061019A" w:rsidRDefault="007625FD" w:rsidP="007625FD">
      <w:pPr>
        <w:pStyle w:val="ListParagraph"/>
        <w:numPr>
          <w:ilvl w:val="0"/>
          <w:numId w:val="5"/>
        </w:numPr>
        <w:autoSpaceDE/>
        <w:autoSpaceDN/>
        <w:adjustRightInd/>
        <w:spacing w:before="0" w:after="360" w:line="276" w:lineRule="auto"/>
        <w:ind w:right="0"/>
        <w:contextualSpacing/>
        <w:jc w:val="both"/>
        <w:rPr>
          <w:sz w:val="22"/>
          <w:szCs w:val="22"/>
        </w:rPr>
      </w:pPr>
      <w:r w:rsidRPr="0061019A">
        <w:rPr>
          <w:sz w:val="22"/>
          <w:szCs w:val="22"/>
          <w:u w:val="single"/>
        </w:rPr>
        <w:t xml:space="preserve">Standard </w:t>
      </w:r>
      <w:r w:rsidRPr="0061019A" w:rsidDel="00D3207B">
        <w:rPr>
          <w:sz w:val="22"/>
          <w:szCs w:val="22"/>
          <w:u w:val="single"/>
        </w:rPr>
        <w:t>User</w:t>
      </w:r>
      <w:r w:rsidRPr="0061019A">
        <w:rPr>
          <w:sz w:val="22"/>
          <w:szCs w:val="22"/>
        </w:rPr>
        <w:t xml:space="preserve">: manual creation and search services for lower volume Users, using </w:t>
      </w:r>
      <w:hyperlink r:id="rId23" w:history="1">
        <w:r w:rsidRPr="0061019A">
          <w:rPr>
            <w:rStyle w:val="Hyperlink"/>
            <w:sz w:val="22"/>
            <w:szCs w:val="22"/>
          </w:rPr>
          <w:t>a web-front end</w:t>
        </w:r>
      </w:hyperlink>
      <w:r w:rsidRPr="0061019A">
        <w:rPr>
          <w:sz w:val="22"/>
          <w:szCs w:val="22"/>
        </w:rPr>
        <w:t xml:space="preserve"> (paid usage) </w:t>
      </w:r>
    </w:p>
    <w:p w14:paraId="76C510F8" w14:textId="77777777" w:rsidR="007625FD" w:rsidRPr="0061019A" w:rsidRDefault="007625FD" w:rsidP="007625FD">
      <w:pPr>
        <w:pStyle w:val="ListParagraph"/>
        <w:numPr>
          <w:ilvl w:val="0"/>
          <w:numId w:val="5"/>
        </w:numPr>
        <w:autoSpaceDE/>
        <w:autoSpaceDN/>
        <w:adjustRightInd/>
        <w:spacing w:before="0" w:after="360" w:line="276" w:lineRule="auto"/>
        <w:ind w:right="0"/>
        <w:contextualSpacing/>
        <w:jc w:val="both"/>
        <w:rPr>
          <w:sz w:val="22"/>
          <w:szCs w:val="22"/>
        </w:rPr>
      </w:pPr>
      <w:r w:rsidRPr="0061019A">
        <w:rPr>
          <w:sz w:val="22"/>
          <w:szCs w:val="22"/>
          <w:u w:val="single"/>
        </w:rPr>
        <w:t xml:space="preserve">Infrequent </w:t>
      </w:r>
      <w:r w:rsidRPr="0061019A" w:rsidDel="00D3207B">
        <w:rPr>
          <w:sz w:val="22"/>
          <w:szCs w:val="22"/>
          <w:u w:val="single"/>
        </w:rPr>
        <w:t>User</w:t>
      </w:r>
      <w:r w:rsidRPr="0061019A">
        <w:rPr>
          <w:sz w:val="22"/>
          <w:szCs w:val="22"/>
        </w:rPr>
        <w:t xml:space="preserve">: manual creation and limited search services using </w:t>
      </w:r>
      <w:hyperlink r:id="rId24" w:history="1">
        <w:r w:rsidRPr="0061019A">
          <w:rPr>
            <w:rStyle w:val="Hyperlink"/>
            <w:sz w:val="22"/>
            <w:szCs w:val="22"/>
          </w:rPr>
          <w:t>a web-front end</w:t>
        </w:r>
      </w:hyperlink>
      <w:r w:rsidRPr="0061019A">
        <w:rPr>
          <w:rStyle w:val="Hyperlink"/>
          <w:sz w:val="22"/>
          <w:szCs w:val="22"/>
        </w:rPr>
        <w:t xml:space="preserve"> </w:t>
      </w:r>
      <w:r w:rsidRPr="0061019A">
        <w:rPr>
          <w:sz w:val="22"/>
          <w:szCs w:val="22"/>
        </w:rPr>
        <w:t>– targeted towards very low volume Users, with a limit on the number of search results returned and an unlimited number of searches</w:t>
      </w:r>
      <w:r w:rsidRPr="0061019A">
        <w:rPr>
          <w:rStyle w:val="FootnoteReference"/>
          <w:sz w:val="22"/>
          <w:szCs w:val="22"/>
        </w:rPr>
        <w:footnoteReference w:id="37"/>
      </w:r>
      <w:r w:rsidRPr="0061019A">
        <w:rPr>
          <w:sz w:val="22"/>
          <w:szCs w:val="22"/>
        </w:rPr>
        <w:t xml:space="preserve"> (paid usage) </w:t>
      </w:r>
    </w:p>
    <w:p w14:paraId="0128E71E" w14:textId="77777777" w:rsidR="007625FD" w:rsidRPr="0061019A" w:rsidRDefault="007625FD" w:rsidP="007625FD">
      <w:pPr>
        <w:pStyle w:val="ListParagraph"/>
        <w:numPr>
          <w:ilvl w:val="0"/>
          <w:numId w:val="5"/>
        </w:numPr>
        <w:autoSpaceDE/>
        <w:autoSpaceDN/>
        <w:adjustRightInd/>
        <w:spacing w:before="0" w:after="120" w:line="276" w:lineRule="auto"/>
        <w:ind w:left="714" w:right="0" w:hanging="357"/>
        <w:jc w:val="both"/>
        <w:rPr>
          <w:sz w:val="22"/>
          <w:szCs w:val="22"/>
        </w:rPr>
      </w:pPr>
      <w:r w:rsidRPr="0061019A">
        <w:rPr>
          <w:sz w:val="22"/>
          <w:szCs w:val="22"/>
          <w:u w:val="single"/>
        </w:rPr>
        <w:t xml:space="preserve">Registered </w:t>
      </w:r>
      <w:r w:rsidRPr="0061019A" w:rsidDel="00D3207B">
        <w:rPr>
          <w:sz w:val="22"/>
          <w:szCs w:val="22"/>
          <w:u w:val="single"/>
        </w:rPr>
        <w:t>User</w:t>
      </w:r>
      <w:r w:rsidRPr="0061019A">
        <w:rPr>
          <w:sz w:val="22"/>
          <w:szCs w:val="22"/>
        </w:rPr>
        <w:t xml:space="preserve">: manual search services using </w:t>
      </w:r>
      <w:hyperlink r:id="rId25" w:history="1">
        <w:r w:rsidRPr="0061019A">
          <w:rPr>
            <w:rStyle w:val="Hyperlink"/>
            <w:sz w:val="22"/>
            <w:szCs w:val="22"/>
          </w:rPr>
          <w:t>a web-front end</w:t>
        </w:r>
      </w:hyperlink>
      <w:r w:rsidRPr="0061019A">
        <w:rPr>
          <w:sz w:val="22"/>
          <w:szCs w:val="22"/>
        </w:rPr>
        <w:t xml:space="preserve">, with a limit on the number of search results returned and an unlimited number of searches (free to use) </w:t>
      </w:r>
    </w:p>
    <w:p w14:paraId="19372877" w14:textId="77777777" w:rsidR="007625FD" w:rsidRDefault="007625FD" w:rsidP="007625FD">
      <w:pPr>
        <w:spacing w:after="120"/>
        <w:jc w:val="both"/>
        <w:rPr>
          <w:rStyle w:val="normaltextrun"/>
          <w:rFonts w:cstheme="minorHAnsi"/>
          <w:bCs/>
          <w:color w:val="000000"/>
        </w:rPr>
      </w:pPr>
      <w:r>
        <w:t xml:space="preserve">Irrespective of </w:t>
      </w:r>
      <w:r w:rsidDel="00D3207B">
        <w:rPr>
          <w:rStyle w:val="normaltextrun"/>
          <w:rFonts w:cstheme="minorHAnsi"/>
          <w:bCs/>
          <w:color w:val="000000"/>
        </w:rPr>
        <w:t>User</w:t>
      </w:r>
      <w:r>
        <w:rPr>
          <w:rStyle w:val="normaltextrun"/>
          <w:rFonts w:cstheme="minorHAnsi"/>
          <w:bCs/>
          <w:color w:val="000000"/>
        </w:rPr>
        <w:t xml:space="preserve"> Type, all DSB Users can search for OTC derivative data in near real-time by logging on to the DSB’s web front end, conducting a manual search, and downloading the specific record of interest in machine readable format. Market participants are also able to obtain the OTC derivative identifier from their counterparty, or from their trade execution platform and use the identifier as part of their trading workflows.  </w:t>
      </w:r>
    </w:p>
    <w:p w14:paraId="74182A68" w14:textId="2C69C78D" w:rsidR="007625FD" w:rsidRDefault="007625FD" w:rsidP="007625FD">
      <w:pPr>
        <w:spacing w:after="120"/>
        <w:jc w:val="both"/>
      </w:pPr>
      <w:r w:rsidRPr="003F5F8A">
        <w:t xml:space="preserve">In addition, to the </w:t>
      </w:r>
      <w:r>
        <w:t xml:space="preserve">User </w:t>
      </w:r>
      <w:r w:rsidRPr="003F5F8A">
        <w:t xml:space="preserve">services listed above, all DSB </w:t>
      </w:r>
      <w:r>
        <w:t>User</w:t>
      </w:r>
      <w:r w:rsidRPr="003F5F8A">
        <w:t xml:space="preserve">s of the CFI, FISN and OTC </w:t>
      </w:r>
      <w:r w:rsidR="00F07F21">
        <w:t>ISIN Service</w:t>
      </w:r>
      <w:r w:rsidRPr="003F5F8A">
        <w:t xml:space="preserve"> </w:t>
      </w:r>
      <w:r w:rsidR="00D86330" w:rsidRPr="003F5F8A">
        <w:t>can</w:t>
      </w:r>
      <w:r w:rsidRPr="003F5F8A">
        <w:t xml:space="preserve"> download machine readable records and have free o</w:t>
      </w:r>
      <w:r w:rsidRPr="009F5C43">
        <w:t>f cost access to (London) end of day files containing a list of all new OTC ISIN records created or updated tha</w:t>
      </w:r>
      <w:r w:rsidRPr="00B56B63">
        <w:t>t day.</w:t>
      </w:r>
      <w:r>
        <w:t xml:space="preserve"> </w:t>
      </w:r>
    </w:p>
    <w:p w14:paraId="5E1FC091" w14:textId="710C2C35" w:rsidR="007625FD" w:rsidRPr="003F5F8A" w:rsidRDefault="007625FD" w:rsidP="007625FD">
      <w:pPr>
        <w:pStyle w:val="paragraph"/>
        <w:spacing w:before="0" w:beforeAutospacing="0" w:after="120" w:afterAutospacing="0" w:line="276" w:lineRule="auto"/>
        <w:jc w:val="both"/>
        <w:textAlignment w:val="baseline"/>
        <w:rPr>
          <w:rStyle w:val="normaltextrun"/>
          <w:rFonts w:asciiTheme="minorHAnsi" w:hAnsiTheme="minorHAnsi" w:cstheme="minorHAnsi"/>
          <w:bCs/>
          <w:color w:val="000000"/>
          <w:sz w:val="22"/>
          <w:szCs w:val="22"/>
        </w:rPr>
      </w:pPr>
      <w:r w:rsidRPr="003F5F8A">
        <w:rPr>
          <w:rStyle w:val="normaltextrun"/>
          <w:rFonts w:asciiTheme="minorHAnsi" w:hAnsiTheme="minorHAnsi" w:cstheme="minorHAnsi"/>
          <w:bCs/>
          <w:color w:val="000000"/>
          <w:sz w:val="22"/>
          <w:szCs w:val="22"/>
        </w:rPr>
        <w:t xml:space="preserve">Following </w:t>
      </w:r>
      <w:r>
        <w:rPr>
          <w:rStyle w:val="normaltextrun"/>
          <w:rFonts w:asciiTheme="minorHAnsi" w:hAnsiTheme="minorHAnsi" w:cstheme="minorHAnsi"/>
          <w:bCs/>
          <w:color w:val="000000"/>
          <w:sz w:val="22"/>
          <w:szCs w:val="22"/>
        </w:rPr>
        <w:t>DSB User</w:t>
      </w:r>
      <w:r w:rsidRPr="003F5F8A">
        <w:rPr>
          <w:rStyle w:val="normaltextrun"/>
          <w:rFonts w:asciiTheme="minorHAnsi" w:hAnsiTheme="minorHAnsi" w:cstheme="minorHAnsi"/>
          <w:bCs/>
          <w:color w:val="000000"/>
          <w:sz w:val="22"/>
          <w:szCs w:val="22"/>
        </w:rPr>
        <w:t xml:space="preserve"> feedback in response to the </w:t>
      </w:r>
      <w:r>
        <w:rPr>
          <w:rStyle w:val="normaltextrun"/>
          <w:rFonts w:asciiTheme="minorHAnsi" w:hAnsiTheme="minorHAnsi" w:cstheme="minorHAnsi"/>
          <w:bCs/>
          <w:color w:val="000000"/>
          <w:sz w:val="22"/>
          <w:szCs w:val="22"/>
        </w:rPr>
        <w:t xml:space="preserve">OTC </w:t>
      </w:r>
      <w:r w:rsidR="00F07F21">
        <w:rPr>
          <w:rStyle w:val="normaltextrun"/>
          <w:rFonts w:asciiTheme="minorHAnsi" w:hAnsiTheme="minorHAnsi" w:cstheme="minorHAnsi"/>
          <w:bCs/>
          <w:color w:val="000000"/>
          <w:sz w:val="22"/>
          <w:szCs w:val="22"/>
        </w:rPr>
        <w:t>ISIN Service</w:t>
      </w:r>
      <w:r>
        <w:rPr>
          <w:rStyle w:val="normaltextrun"/>
          <w:rFonts w:asciiTheme="minorHAnsi" w:hAnsiTheme="minorHAnsi" w:cstheme="minorHAnsi"/>
          <w:bCs/>
          <w:color w:val="000000"/>
          <w:sz w:val="22"/>
          <w:szCs w:val="22"/>
        </w:rPr>
        <w:t xml:space="preserve"> </w:t>
      </w:r>
      <w:r w:rsidRPr="003F5F8A">
        <w:rPr>
          <w:rStyle w:val="normaltextrun"/>
          <w:rFonts w:asciiTheme="minorHAnsi" w:hAnsiTheme="minorHAnsi" w:cstheme="minorHAnsi"/>
          <w:bCs/>
          <w:color w:val="000000"/>
          <w:sz w:val="22"/>
          <w:szCs w:val="22"/>
        </w:rPr>
        <w:t>industry consultation conducted in 2020</w:t>
      </w:r>
      <w:r>
        <w:rPr>
          <w:rStyle w:val="FootnoteReference"/>
          <w:rFonts w:asciiTheme="minorHAnsi" w:hAnsiTheme="minorHAnsi" w:cstheme="minorHAnsi"/>
          <w:bCs/>
          <w:color w:val="000000"/>
          <w:sz w:val="22"/>
          <w:szCs w:val="22"/>
        </w:rPr>
        <w:footnoteReference w:id="38"/>
      </w:r>
      <w:r w:rsidRPr="003F5F8A">
        <w:rPr>
          <w:rStyle w:val="normaltextrun"/>
          <w:rFonts w:asciiTheme="minorHAnsi" w:hAnsiTheme="minorHAnsi" w:cstheme="minorHAnsi"/>
          <w:bCs/>
          <w:color w:val="000000"/>
          <w:sz w:val="22"/>
          <w:szCs w:val="22"/>
        </w:rPr>
        <w:t>, t</w:t>
      </w:r>
      <w:r w:rsidRPr="00B56B63">
        <w:rPr>
          <w:rStyle w:val="normaltextrun"/>
          <w:rFonts w:asciiTheme="minorHAnsi" w:hAnsiTheme="minorHAnsi" w:cstheme="minorHAnsi"/>
          <w:bCs/>
          <w:color w:val="000000"/>
          <w:sz w:val="22"/>
          <w:szCs w:val="22"/>
        </w:rPr>
        <w:t xml:space="preserve">he DSB will also be introducing </w:t>
      </w:r>
      <w:r>
        <w:rPr>
          <w:rStyle w:val="normaltextrun"/>
          <w:rFonts w:asciiTheme="minorHAnsi" w:hAnsiTheme="minorHAnsi" w:cstheme="minorHAnsi"/>
          <w:bCs/>
          <w:color w:val="000000"/>
          <w:sz w:val="22"/>
          <w:szCs w:val="22"/>
        </w:rPr>
        <w:t>an</w:t>
      </w:r>
      <w:r w:rsidRPr="00B56B63">
        <w:rPr>
          <w:rStyle w:val="normaltextrun"/>
          <w:rFonts w:asciiTheme="minorHAnsi" w:hAnsiTheme="minorHAnsi" w:cstheme="minorHAnsi"/>
          <w:bCs/>
          <w:color w:val="000000"/>
          <w:sz w:val="22"/>
          <w:szCs w:val="22"/>
        </w:rPr>
        <w:t xml:space="preserve"> additional </w:t>
      </w:r>
      <w:r>
        <w:rPr>
          <w:rStyle w:val="normaltextrun"/>
          <w:rFonts w:asciiTheme="minorHAnsi" w:hAnsiTheme="minorHAnsi" w:cstheme="minorHAnsi"/>
          <w:bCs/>
          <w:color w:val="000000"/>
          <w:sz w:val="22"/>
          <w:szCs w:val="22"/>
        </w:rPr>
        <w:t>User</w:t>
      </w:r>
      <w:r w:rsidRPr="00B56B63">
        <w:rPr>
          <w:rStyle w:val="normaltextrun"/>
          <w:rFonts w:asciiTheme="minorHAnsi" w:hAnsiTheme="minorHAnsi" w:cstheme="minorHAnsi"/>
          <w:bCs/>
          <w:color w:val="000000"/>
          <w:sz w:val="22"/>
          <w:szCs w:val="22"/>
        </w:rPr>
        <w:t xml:space="preserve"> service in 2021, the search-only Application Programming Interface (API) </w:t>
      </w:r>
      <w:r>
        <w:rPr>
          <w:rStyle w:val="normaltextrun"/>
          <w:rFonts w:asciiTheme="minorHAnsi" w:hAnsiTheme="minorHAnsi" w:cstheme="minorHAnsi"/>
          <w:bCs/>
          <w:color w:val="000000"/>
          <w:sz w:val="22"/>
          <w:szCs w:val="22"/>
        </w:rPr>
        <w:t>User</w:t>
      </w:r>
      <w:r w:rsidRPr="00B56B63">
        <w:rPr>
          <w:rStyle w:val="normaltextrun"/>
          <w:rFonts w:asciiTheme="minorHAnsi" w:hAnsiTheme="minorHAnsi" w:cstheme="minorHAnsi"/>
          <w:bCs/>
          <w:color w:val="000000"/>
          <w:sz w:val="22"/>
          <w:szCs w:val="22"/>
        </w:rPr>
        <w:t xml:space="preserve"> to enable lower volume </w:t>
      </w:r>
      <w:r>
        <w:rPr>
          <w:rStyle w:val="normaltextrun"/>
          <w:rFonts w:asciiTheme="minorHAnsi" w:hAnsiTheme="minorHAnsi" w:cstheme="minorHAnsi"/>
          <w:bCs/>
          <w:color w:val="000000"/>
          <w:sz w:val="22"/>
          <w:szCs w:val="22"/>
        </w:rPr>
        <w:t>User</w:t>
      </w:r>
      <w:r w:rsidRPr="00B56B63">
        <w:rPr>
          <w:rStyle w:val="normaltextrun"/>
          <w:rFonts w:asciiTheme="minorHAnsi" w:hAnsiTheme="minorHAnsi" w:cstheme="minorHAnsi"/>
          <w:bCs/>
          <w:color w:val="000000"/>
          <w:sz w:val="22"/>
          <w:szCs w:val="22"/>
        </w:rPr>
        <w:t xml:space="preserve">s requiring systematic access </w:t>
      </w:r>
      <w:r>
        <w:rPr>
          <w:rStyle w:val="normaltextrun"/>
          <w:rFonts w:asciiTheme="minorHAnsi" w:hAnsiTheme="minorHAnsi" w:cstheme="minorHAnsi"/>
          <w:bCs/>
          <w:color w:val="000000"/>
          <w:sz w:val="22"/>
          <w:szCs w:val="22"/>
        </w:rPr>
        <w:t xml:space="preserve">for search-only </w:t>
      </w:r>
      <w:r w:rsidRPr="00B56B63">
        <w:rPr>
          <w:rStyle w:val="normaltextrun"/>
          <w:rFonts w:asciiTheme="minorHAnsi" w:hAnsiTheme="minorHAnsi" w:cstheme="minorHAnsi"/>
          <w:bCs/>
          <w:color w:val="000000"/>
          <w:sz w:val="22"/>
          <w:szCs w:val="22"/>
        </w:rPr>
        <w:t xml:space="preserve">on a paid basis. </w:t>
      </w:r>
    </w:p>
    <w:p w14:paraId="032B68C0" w14:textId="7346B1F2" w:rsidR="007625FD" w:rsidRPr="00B56B63" w:rsidRDefault="007625FD" w:rsidP="007625FD">
      <w:pPr>
        <w:spacing w:after="120"/>
        <w:jc w:val="both"/>
      </w:pPr>
      <w:r w:rsidRPr="00B56B63">
        <w:t>The DSB’s TAC set up a TAC Strategy Sub-Committee</w:t>
      </w:r>
      <w:r w:rsidR="005C6A05">
        <w:rPr>
          <w:rStyle w:val="FootnoteReference"/>
        </w:rPr>
        <w:footnoteReference w:id="39"/>
      </w:r>
      <w:r w:rsidRPr="00B56B63">
        <w:t xml:space="preserve"> (TAC SSC) which reviews workflow and infrastructure related elements of the DSB’s UPI implementation. </w:t>
      </w:r>
      <w:r w:rsidR="009B6EA5">
        <w:t xml:space="preserve">TAC SSC meeting minutes are available on the DSB </w:t>
      </w:r>
      <w:hyperlink r:id="rId26" w:history="1">
        <w:r w:rsidR="009B6EA5" w:rsidRPr="00A06122">
          <w:rPr>
            <w:rStyle w:val="Hyperlink"/>
          </w:rPr>
          <w:t>website</w:t>
        </w:r>
      </w:hyperlink>
      <w:r w:rsidR="00384796">
        <w:t xml:space="preserve">. </w:t>
      </w:r>
      <w:r w:rsidRPr="00B56B63">
        <w:t>The TAC SSC</w:t>
      </w:r>
      <w:r w:rsidR="00384796">
        <w:t>,</w:t>
      </w:r>
      <w:r w:rsidRPr="00B56B63">
        <w:t xml:space="preserve"> which is comprised of both DSB and external stakeholders</w:t>
      </w:r>
      <w:r w:rsidR="00384796">
        <w:t>,</w:t>
      </w:r>
      <w:r w:rsidRPr="00B56B63">
        <w:t xml:space="preserve"> has produced an interim report that made recommendations to the broader TAC on a range of UPI technology integration related topics, to enable broader discussion of the subject. </w:t>
      </w:r>
    </w:p>
    <w:p w14:paraId="335E3AB5" w14:textId="77777777" w:rsidR="007625FD" w:rsidRPr="00B56B63" w:rsidRDefault="007625FD" w:rsidP="007625FD">
      <w:pPr>
        <w:spacing w:after="120"/>
        <w:jc w:val="both"/>
      </w:pPr>
      <w:r w:rsidRPr="00B56B63">
        <w:t xml:space="preserve">The interim report and associated proposals and assumptions </w:t>
      </w:r>
      <w:r>
        <w:t xml:space="preserve">continue to </w:t>
      </w:r>
      <w:r w:rsidRPr="00B56B63">
        <w:t xml:space="preserve">be discussed at a series of TAC SSC meetings in 2021, to enable the TAC SSC membership to review progress with respect to the findings of the interim report, the assumptions, recommendations, and questions that were raised in the document. The findings of the TAC SSC will be presented to the broader TAC and the final </w:t>
      </w:r>
      <w:r w:rsidRPr="00B56B63">
        <w:lastRenderedPageBreak/>
        <w:t xml:space="preserve">recommendations and any associated cost implications will be taken forward for review by the DSB Board for final review and decision making. </w:t>
      </w:r>
    </w:p>
    <w:p w14:paraId="40FF0AFF" w14:textId="77777777" w:rsidR="007625FD" w:rsidRPr="00B56B63" w:rsidRDefault="007625FD" w:rsidP="007625FD">
      <w:pPr>
        <w:spacing w:after="120"/>
        <w:jc w:val="both"/>
      </w:pPr>
      <w:r w:rsidRPr="00B56B63">
        <w:t xml:space="preserve">The DSB serves 70% of its </w:t>
      </w:r>
      <w:r>
        <w:t>User</w:t>
      </w:r>
      <w:r w:rsidRPr="00B56B63">
        <w:t xml:space="preserve">s at no charge, and the remainder on a cost recovery basis, with </w:t>
      </w:r>
      <w:r>
        <w:t>User</w:t>
      </w:r>
      <w:r w:rsidRPr="00B56B63">
        <w:t xml:space="preserve"> </w:t>
      </w:r>
      <w:r>
        <w:t xml:space="preserve">numbers </w:t>
      </w:r>
      <w:r w:rsidRPr="00B56B63">
        <w:t xml:space="preserve">having direct input into the primary fee variables. All DSB </w:t>
      </w:r>
      <w:r>
        <w:t>User</w:t>
      </w:r>
      <w:r w:rsidRPr="00B56B63">
        <w:t xml:space="preserve">s can contribute directly to the service evolution via both an annual consultation process and two industry driven </w:t>
      </w:r>
      <w:r>
        <w:t>User</w:t>
      </w:r>
      <w:r w:rsidRPr="00B56B63">
        <w:t xml:space="preserve"> forums – the PC and TAC. </w:t>
      </w:r>
    </w:p>
    <w:p w14:paraId="1355AFEE" w14:textId="77777777" w:rsidR="007625FD" w:rsidRPr="00B56B63" w:rsidRDefault="007625FD" w:rsidP="007625FD">
      <w:pPr>
        <w:spacing w:after="120"/>
        <w:jc w:val="both"/>
      </w:pPr>
      <w:r w:rsidRPr="00B56B63">
        <w:t xml:space="preserve">DSB </w:t>
      </w:r>
      <w:r>
        <w:t>User</w:t>
      </w:r>
      <w:r w:rsidRPr="00B56B63">
        <w:t xml:space="preserve">s can obtain the required OTC derivative identifier via several channels and use the record as part of their trade workflow, with more sophisticated </w:t>
      </w:r>
      <w:r>
        <w:t>User</w:t>
      </w:r>
      <w:r w:rsidRPr="00B56B63">
        <w:t xml:space="preserve">s obtaining data via several means and others focusing on a single channel as best suited to the organization’s commercial, </w:t>
      </w:r>
      <w:proofErr w:type="gramStart"/>
      <w:r w:rsidRPr="00B56B63">
        <w:t>strategic</w:t>
      </w:r>
      <w:proofErr w:type="gramEnd"/>
      <w:r w:rsidRPr="00B56B63">
        <w:t xml:space="preserve"> and tactical needs. </w:t>
      </w:r>
    </w:p>
    <w:p w14:paraId="594B0863" w14:textId="77777777" w:rsidR="007625FD" w:rsidRPr="000B18A3" w:rsidRDefault="007625FD" w:rsidP="007625FD">
      <w:pPr>
        <w:spacing w:after="120"/>
        <w:jc w:val="both"/>
      </w:pPr>
      <w:r w:rsidRPr="00B56B63">
        <w:t xml:space="preserve">Some ways in which </w:t>
      </w:r>
      <w:r>
        <w:t>User</w:t>
      </w:r>
      <w:r w:rsidRPr="00B56B63">
        <w:t xml:space="preserve">s </w:t>
      </w:r>
      <w:r>
        <w:t>will</w:t>
      </w:r>
      <w:r w:rsidRPr="00B56B63">
        <w:t xml:space="preserve"> obtain the OTC derivative CFI, UPI and/or OTC ISIN include: </w:t>
      </w:r>
    </w:p>
    <w:p w14:paraId="2E8DB062" w14:textId="77777777" w:rsidR="007625FD" w:rsidRPr="000B18A3" w:rsidRDefault="007625FD" w:rsidP="007625FD">
      <w:pPr>
        <w:pStyle w:val="ListParagraph"/>
        <w:numPr>
          <w:ilvl w:val="0"/>
          <w:numId w:val="5"/>
        </w:numPr>
        <w:spacing w:after="120" w:line="276" w:lineRule="auto"/>
        <w:jc w:val="both"/>
        <w:rPr>
          <w:sz w:val="22"/>
          <w:szCs w:val="22"/>
        </w:rPr>
      </w:pPr>
      <w:r w:rsidRPr="000B18A3">
        <w:rPr>
          <w:sz w:val="22"/>
          <w:szCs w:val="22"/>
        </w:rPr>
        <w:t>from their counterparty</w:t>
      </w:r>
    </w:p>
    <w:p w14:paraId="0CB46118" w14:textId="77777777" w:rsidR="007625FD" w:rsidRPr="000B18A3" w:rsidRDefault="007625FD" w:rsidP="007625FD">
      <w:pPr>
        <w:pStyle w:val="ListParagraph"/>
        <w:numPr>
          <w:ilvl w:val="0"/>
          <w:numId w:val="5"/>
        </w:numPr>
        <w:spacing w:after="120" w:line="276" w:lineRule="auto"/>
        <w:jc w:val="both"/>
        <w:rPr>
          <w:sz w:val="22"/>
          <w:szCs w:val="22"/>
        </w:rPr>
      </w:pPr>
      <w:r w:rsidRPr="000B18A3">
        <w:rPr>
          <w:sz w:val="22"/>
          <w:szCs w:val="22"/>
        </w:rPr>
        <w:t xml:space="preserve">from the execution platform on which the trade was done </w:t>
      </w:r>
    </w:p>
    <w:p w14:paraId="7EFD7FC0" w14:textId="77777777" w:rsidR="007625FD" w:rsidRPr="000B18A3" w:rsidRDefault="007625FD" w:rsidP="007625FD">
      <w:pPr>
        <w:pStyle w:val="ListParagraph"/>
        <w:numPr>
          <w:ilvl w:val="0"/>
          <w:numId w:val="5"/>
        </w:numPr>
        <w:spacing w:after="120" w:line="276" w:lineRule="auto"/>
        <w:jc w:val="both"/>
        <w:rPr>
          <w:sz w:val="22"/>
          <w:szCs w:val="22"/>
        </w:rPr>
      </w:pPr>
      <w:r w:rsidRPr="000B18A3">
        <w:rPr>
          <w:sz w:val="22"/>
          <w:szCs w:val="22"/>
        </w:rPr>
        <w:t xml:space="preserve">connect directly to the DSB (via an API, the web-front end, or download data) </w:t>
      </w:r>
    </w:p>
    <w:p w14:paraId="5E1AE521" w14:textId="77777777" w:rsidR="007625FD" w:rsidRPr="000B18A3" w:rsidRDefault="007625FD" w:rsidP="007625FD">
      <w:pPr>
        <w:pStyle w:val="ListParagraph"/>
        <w:numPr>
          <w:ilvl w:val="0"/>
          <w:numId w:val="5"/>
        </w:numPr>
        <w:spacing w:after="120" w:line="276" w:lineRule="auto"/>
        <w:jc w:val="both"/>
        <w:rPr>
          <w:sz w:val="22"/>
          <w:szCs w:val="22"/>
        </w:rPr>
      </w:pPr>
      <w:r w:rsidRPr="000B18A3">
        <w:rPr>
          <w:sz w:val="22"/>
          <w:szCs w:val="22"/>
        </w:rPr>
        <w:t xml:space="preserve">from an intermediary – either a data or technology vendor </w:t>
      </w:r>
    </w:p>
    <w:p w14:paraId="48D510E8" w14:textId="77777777" w:rsidR="007625FD" w:rsidRPr="00B56B63" w:rsidRDefault="007625FD" w:rsidP="007625FD">
      <w:pPr>
        <w:jc w:val="both"/>
      </w:pPr>
      <w:r w:rsidRPr="003F5F8A">
        <w:t xml:space="preserve">Experience with the OTC ISIN thus far indicates that many </w:t>
      </w:r>
      <w:r>
        <w:t>User</w:t>
      </w:r>
      <w:r w:rsidRPr="003F5F8A">
        <w:t xml:space="preserve">s have over time sought to connect directly to the DSB to supplement their reference data workflows for a variety of reasons, which include </w:t>
      </w:r>
      <w:r w:rsidRPr="009F5C43">
        <w:t xml:space="preserve">but are not </w:t>
      </w:r>
      <w:r w:rsidRPr="00B56B63">
        <w:t xml:space="preserve">limited to timeliness, efficiency, cost, etc. </w:t>
      </w:r>
    </w:p>
    <w:p w14:paraId="30F68008" w14:textId="542A5F14" w:rsidR="007625FD" w:rsidRPr="00906380" w:rsidRDefault="007625FD" w:rsidP="007625FD">
      <w:pPr>
        <w:tabs>
          <w:tab w:val="left" w:pos="4253"/>
        </w:tabs>
        <w:jc w:val="both"/>
      </w:pPr>
      <w:r w:rsidRPr="00B56B63">
        <w:t xml:space="preserve">Given the synergies between the DSB’s existing service and the forthcoming </w:t>
      </w:r>
      <w:r w:rsidR="00F07F21">
        <w:t>UPI Service</w:t>
      </w:r>
      <w:r w:rsidRPr="00B56B63">
        <w:t xml:space="preserve">, leveraging the existing </w:t>
      </w:r>
      <w:r w:rsidRPr="00B56B63">
        <w:rPr>
          <w:rStyle w:val="normaltextrun"/>
          <w:rFonts w:ascii="Calibri" w:hAnsi="Calibri" w:cs="Calibri"/>
          <w:color w:val="000000" w:themeColor="text1"/>
        </w:rPr>
        <w:t>staff, systems</w:t>
      </w:r>
      <w:r>
        <w:rPr>
          <w:rStyle w:val="normaltextrun"/>
          <w:rFonts w:ascii="Calibri" w:hAnsi="Calibri" w:cs="Calibri"/>
          <w:color w:val="000000" w:themeColor="text1"/>
        </w:rPr>
        <w:t xml:space="preserve">, </w:t>
      </w:r>
      <w:proofErr w:type="gramStart"/>
      <w:r>
        <w:rPr>
          <w:rStyle w:val="normaltextrun"/>
          <w:rFonts w:ascii="Calibri" w:hAnsi="Calibri" w:cs="Calibri"/>
          <w:color w:val="000000" w:themeColor="text1"/>
        </w:rPr>
        <w:t>controls</w:t>
      </w:r>
      <w:proofErr w:type="gramEnd"/>
      <w:r w:rsidRPr="00B56B63">
        <w:rPr>
          <w:rStyle w:val="normaltextrun"/>
          <w:rFonts w:ascii="Calibri" w:hAnsi="Calibri" w:cs="Calibri"/>
          <w:color w:val="000000" w:themeColor="text1"/>
        </w:rPr>
        <w:t xml:space="preserve"> and processes </w:t>
      </w:r>
      <w:r w:rsidRPr="00B56B63">
        <w:t xml:space="preserve">as far as practicable, allows for strong application of the Lean </w:t>
      </w:r>
      <w:r>
        <w:t>G</w:t>
      </w:r>
      <w:r w:rsidRPr="00B56B63">
        <w:t xml:space="preserve">overnance </w:t>
      </w:r>
      <w:r>
        <w:t>C</w:t>
      </w:r>
      <w:r w:rsidRPr="00B56B63">
        <w:t>riteria,</w:t>
      </w:r>
      <w:r w:rsidRPr="00B56B63">
        <w:rPr>
          <w:rStyle w:val="normaltextrun"/>
          <w:rFonts w:ascii="Calibri" w:hAnsi="Calibri" w:cs="Calibri"/>
          <w:color w:val="000000"/>
        </w:rPr>
        <w:t xml:space="preserve"> described </w:t>
      </w:r>
      <w:r w:rsidRPr="00906380">
        <w:rPr>
          <w:rStyle w:val="normaltextrun"/>
          <w:rFonts w:ascii="Calibri" w:hAnsi="Calibri" w:cs="Calibri"/>
          <w:color w:val="000000"/>
        </w:rPr>
        <w:t xml:space="preserve">in </w:t>
      </w:r>
      <w:r w:rsidRPr="00922E89" w:rsidDel="00D00ECA">
        <w:rPr>
          <w:rStyle w:val="normaltextrun"/>
          <w:rFonts w:cstheme="minorHAnsi"/>
          <w:color w:val="000000"/>
        </w:rPr>
        <w:t>section</w:t>
      </w:r>
      <w:r w:rsidRPr="00906380" w:rsidDel="00D00ECA">
        <w:rPr>
          <w:rStyle w:val="normaltextrun"/>
          <w:rFonts w:cstheme="minorHAnsi"/>
          <w:i/>
          <w:color w:val="000000"/>
        </w:rPr>
        <w:t xml:space="preserve"> </w:t>
      </w:r>
      <w:r w:rsidRPr="00906380">
        <w:rPr>
          <w:rStyle w:val="normaltextrun"/>
          <w:rFonts w:cstheme="minorHAnsi"/>
          <w:color w:val="000000"/>
        </w:rPr>
        <w:fldChar w:fldCharType="begin"/>
      </w:r>
      <w:r w:rsidRPr="00922E89">
        <w:rPr>
          <w:rStyle w:val="normaltextrun"/>
          <w:rFonts w:cstheme="minorHAnsi"/>
          <w:color w:val="000000"/>
        </w:rPr>
        <w:instrText xml:space="preserve"> REF _Ref83379769 \r \h  \* MERGEFORMAT </w:instrText>
      </w:r>
      <w:r w:rsidRPr="00906380">
        <w:rPr>
          <w:rStyle w:val="normaltextrun"/>
          <w:rFonts w:cstheme="minorHAnsi"/>
          <w:color w:val="000000"/>
        </w:rPr>
      </w:r>
      <w:r w:rsidRPr="00906380">
        <w:rPr>
          <w:rStyle w:val="normaltextrun"/>
          <w:rFonts w:cstheme="minorHAnsi"/>
          <w:color w:val="000000"/>
        </w:rPr>
        <w:fldChar w:fldCharType="separate"/>
      </w:r>
      <w:r w:rsidRPr="00922E89">
        <w:rPr>
          <w:rStyle w:val="normaltextrun"/>
          <w:rFonts w:cstheme="minorHAnsi"/>
          <w:color w:val="000000"/>
        </w:rPr>
        <w:t>3.2</w:t>
      </w:r>
      <w:r w:rsidRPr="00906380">
        <w:rPr>
          <w:rStyle w:val="normaltextrun"/>
          <w:rFonts w:cstheme="minorHAnsi"/>
          <w:color w:val="000000"/>
        </w:rPr>
        <w:fldChar w:fldCharType="end"/>
      </w:r>
      <w:r w:rsidRPr="00906380">
        <w:t>.</w:t>
      </w:r>
    </w:p>
    <w:p w14:paraId="7B9A6E05" w14:textId="77777777" w:rsidR="007625FD" w:rsidRDefault="007625FD" w:rsidP="007625FD">
      <w:pPr>
        <w:jc w:val="both"/>
      </w:pPr>
      <w:r w:rsidRPr="00906380">
        <w:t xml:space="preserve">This consultation focuses on the proposed updates to existing legal agreement and policies to extend their scope to cover the UPI Service. The changes proposed by the DSB within this paper are largely structural and process-related, impacting the mechanisms by which the DSB interacts with its clients i.e., the move to an online onboarding platform, as summarized in </w:t>
      </w:r>
      <w:r w:rsidRPr="00922E89">
        <w:t xml:space="preserve">section </w:t>
      </w:r>
      <w:r w:rsidRPr="00922E89">
        <w:fldChar w:fldCharType="begin"/>
      </w:r>
      <w:r w:rsidRPr="00922E89">
        <w:instrText xml:space="preserve"> REF _Ref83839194 \r \h </w:instrText>
      </w:r>
      <w:r>
        <w:instrText xml:space="preserve"> \* MERGEFORMAT</w:instrText>
      </w:r>
      <w:r w:rsidRPr="00AF328B">
        <w:instrText xml:space="preserve"> </w:instrText>
      </w:r>
      <w:r w:rsidRPr="00922E89">
        <w:fldChar w:fldCharType="separate"/>
      </w:r>
      <w:r w:rsidRPr="00922E89">
        <w:t>5.1</w:t>
      </w:r>
      <w:r w:rsidRPr="00922E89">
        <w:fldChar w:fldCharType="end"/>
      </w:r>
      <w:r w:rsidRPr="00906380">
        <w:t xml:space="preserve"> below.</w:t>
      </w:r>
      <w:r w:rsidRPr="00870056">
        <w:rPr>
          <w:b/>
        </w:rPr>
        <w:t xml:space="preserve"> </w:t>
      </w:r>
      <w:r w:rsidRPr="004E6D5A">
        <w:t xml:space="preserve"> </w:t>
      </w:r>
    </w:p>
    <w:p w14:paraId="6E7BC214" w14:textId="7A259070" w:rsidR="007625FD" w:rsidRDefault="007625FD" w:rsidP="007625FD">
      <w:pPr>
        <w:jc w:val="both"/>
      </w:pPr>
      <w:r w:rsidRPr="004E6D5A">
        <w:t>The</w:t>
      </w:r>
      <w:r>
        <w:t xml:space="preserve"> changes also</w:t>
      </w:r>
      <w:r w:rsidRPr="004E6D5A">
        <w:t xml:space="preserve"> affect the way in which </w:t>
      </w:r>
      <w:proofErr w:type="gramStart"/>
      <w:r>
        <w:t>Users</w:t>
      </w:r>
      <w:proofErr w:type="gramEnd"/>
      <w:r w:rsidRPr="0016516C">
        <w:t xml:space="preserve"> </w:t>
      </w:r>
      <w:r w:rsidRPr="004E6D5A">
        <w:t>contract with the DSB and the way in which the resulting agreements are documented rather than impacting their legal rights and obligations</w:t>
      </w:r>
      <w:r>
        <w:t xml:space="preserve"> that are encapsulated in the current Access </w:t>
      </w:r>
      <w:r w:rsidR="00992458">
        <w:t xml:space="preserve">and </w:t>
      </w:r>
      <w:r>
        <w:t>Usage Agreement</w:t>
      </w:r>
      <w:r w:rsidRPr="004E6D5A">
        <w:t>.</w:t>
      </w:r>
      <w:r>
        <w:t xml:space="preserve"> For example, fundamental terms around User engagement, connectivity, termination rights and compliance with necessary laws remain unchanged. </w:t>
      </w:r>
    </w:p>
    <w:p w14:paraId="1CD17AAB" w14:textId="77777777" w:rsidR="007625FD" w:rsidRPr="00B56B63" w:rsidRDefault="007625FD" w:rsidP="007625FD">
      <w:pPr>
        <w:jc w:val="both"/>
      </w:pPr>
      <w:r w:rsidRPr="00B56B63">
        <w:t xml:space="preserve">This consultation requesting feedback to help shape the DSB’s </w:t>
      </w:r>
      <w:r>
        <w:t>legal documentation</w:t>
      </w:r>
      <w:r w:rsidRPr="00B56B63">
        <w:t xml:space="preserve"> has been </w:t>
      </w:r>
      <w:r>
        <w:t xml:space="preserve">made publicly available on the </w:t>
      </w:r>
      <w:hyperlink r:id="rId27" w:history="1">
        <w:r w:rsidRPr="00673D7D">
          <w:rPr>
            <w:rStyle w:val="Hyperlink"/>
          </w:rPr>
          <w:t>DSB website</w:t>
        </w:r>
      </w:hyperlink>
      <w:r>
        <w:rPr>
          <w:rStyle w:val="FootnoteReference"/>
        </w:rPr>
        <w:footnoteReference w:id="40"/>
      </w:r>
      <w:r>
        <w:t xml:space="preserve"> and promoted globally via press release, as well as </w:t>
      </w:r>
      <w:r w:rsidRPr="00B56B63">
        <w:t xml:space="preserve">sent to the DSB’s </w:t>
      </w:r>
      <w:r>
        <w:t>existing User</w:t>
      </w:r>
      <w:r w:rsidRPr="00B56B63">
        <w:t xml:space="preserve"> community, comprising more than 4,100 individuals across 470 organizations</w:t>
      </w:r>
      <w:r>
        <w:t>.</w:t>
      </w:r>
      <w:r w:rsidRPr="00B56B63">
        <w:t xml:space="preserve"> </w:t>
      </w:r>
      <w:r>
        <w:t>In addition, it has been shared</w:t>
      </w:r>
      <w:r w:rsidRPr="00B56B63">
        <w:t xml:space="preserve"> with the regulatory community for onward distribution to each jurisdiction’s market participants that will be required to submit UPIs as part of their regulatory reporting requirements. </w:t>
      </w:r>
      <w:r w:rsidRPr="00B56B63">
        <w:lastRenderedPageBreak/>
        <w:t xml:space="preserve">The DSB has also worked with major trade associations and participants in each of its industry forums to raise awareness of the consultation, its purpose and intended timelines. </w:t>
      </w:r>
    </w:p>
    <w:p w14:paraId="2B5BC046" w14:textId="77777777" w:rsidR="007625FD" w:rsidRPr="00B56B63" w:rsidRDefault="007625FD" w:rsidP="007625FD">
      <w:pPr>
        <w:jc w:val="both"/>
      </w:pPr>
    </w:p>
    <w:p w14:paraId="79EC0236" w14:textId="77777777" w:rsidR="007625FD" w:rsidRPr="00DD1978" w:rsidRDefault="007625FD" w:rsidP="007625FD">
      <w:pPr>
        <w:pStyle w:val="Heading2"/>
        <w:spacing w:line="276" w:lineRule="auto"/>
      </w:pPr>
      <w:bookmarkStart w:id="42" w:name="_Toc86680470"/>
      <w:r w:rsidRPr="00DD1978">
        <w:t>DSB’s UPI Implementation Timeline</w:t>
      </w:r>
      <w:bookmarkEnd w:id="23"/>
      <w:bookmarkEnd w:id="24"/>
      <w:bookmarkEnd w:id="42"/>
      <w:r w:rsidRPr="00DD1978">
        <w:t xml:space="preserve"> </w:t>
      </w:r>
    </w:p>
    <w:p w14:paraId="6E1DC814" w14:textId="77777777" w:rsidR="007625FD" w:rsidRDefault="007625FD" w:rsidP="007625FD">
      <w:pPr>
        <w:jc w:val="both"/>
      </w:pPr>
      <w:r>
        <w:t xml:space="preserve">The DSB has sought to provide information about key </w:t>
      </w:r>
      <w:hyperlink r:id="rId28" w:history="1">
        <w:r w:rsidRPr="000B4336">
          <w:rPr>
            <w:rStyle w:val="Hyperlink"/>
          </w:rPr>
          <w:t>implementation milestones</w:t>
        </w:r>
      </w:hyperlink>
      <w:r>
        <w:rPr>
          <w:rStyle w:val="FootnoteReference"/>
        </w:rPr>
        <w:footnoteReference w:id="41"/>
      </w:r>
      <w:r>
        <w:t xml:space="preserve"> </w:t>
      </w:r>
      <w:r w:rsidDel="00B15920">
        <w:t xml:space="preserve">in the period </w:t>
      </w:r>
      <w:r>
        <w:t xml:space="preserve">through to July 2022 – the target date for DSB UPI go-live. Further information to be made available </w:t>
      </w:r>
      <w:hyperlink r:id="rId29" w:history="1">
        <w:r w:rsidRPr="00F60A16">
          <w:rPr>
            <w:rStyle w:val="Hyperlink"/>
          </w:rPr>
          <w:t xml:space="preserve">on the </w:t>
        </w:r>
        <w:r>
          <w:rPr>
            <w:rStyle w:val="Hyperlink"/>
          </w:rPr>
          <w:t>DSB</w:t>
        </w:r>
        <w:r w:rsidRPr="00F60A16">
          <w:rPr>
            <w:rStyle w:val="Hyperlink"/>
          </w:rPr>
          <w:t xml:space="preserve"> website</w:t>
        </w:r>
      </w:hyperlink>
      <w:r>
        <w:rPr>
          <w:rStyle w:val="FootnoteReference"/>
        </w:rPr>
        <w:footnoteReference w:id="42"/>
      </w:r>
      <w:r>
        <w:t xml:space="preserve"> in due course. </w:t>
      </w:r>
    </w:p>
    <w:p w14:paraId="079187DA" w14:textId="77777777" w:rsidR="007625FD" w:rsidRDefault="007625FD" w:rsidP="007625FD">
      <w:pPr>
        <w:jc w:val="both"/>
      </w:pPr>
      <w:r>
        <w:t xml:space="preserve">As part of its Governance arrangements for the UPI, the FSB outlined high-level expectations for global UPI implementation planning. It was recognised that jurisdictional implementation is likely to be staggered, occurring at varying speeds because of the independent decision-making processes and prioritisation of initiatives. </w:t>
      </w:r>
    </w:p>
    <w:p w14:paraId="75156EEA" w14:textId="77777777" w:rsidR="007625FD" w:rsidRDefault="007625FD" w:rsidP="007625FD">
      <w:pPr>
        <w:jc w:val="both"/>
      </w:pPr>
      <w:r>
        <w:t>Allowing for legal changes to be made and for TRs and reporting entities to adapt, the FSB recommendation is that jurisdictions undertake the necessary actions relevant to their situation to implement the UPI technical guidance</w:t>
      </w:r>
      <w:r w:rsidDel="00965D71">
        <w:t xml:space="preserve"> </w:t>
      </w:r>
      <w:r>
        <w:t xml:space="preserve">no later than the third quarter of 2022. </w:t>
      </w:r>
    </w:p>
    <w:p w14:paraId="524CF41A" w14:textId="77777777" w:rsidR="007625FD" w:rsidRDefault="007625FD" w:rsidP="007625FD">
      <w:pPr>
        <w:jc w:val="both"/>
      </w:pPr>
      <w:r>
        <w:t xml:space="preserve">Based on the FSB recommendation, the DSB is targeting launch of UPI </w:t>
      </w:r>
      <w:r w:rsidDel="00D3207B">
        <w:t>User</w:t>
      </w:r>
      <w:r>
        <w:t xml:space="preserve"> Acceptance Testing (UAT) in April 2022 with launch of the UPI production environment following three months later, in July 2022. This approach provides six months of industry readiness in advance of anticipated regulatory adoption timelines. </w:t>
      </w:r>
    </w:p>
    <w:p w14:paraId="6D3D7544" w14:textId="77777777" w:rsidR="007625FD" w:rsidRDefault="007625FD" w:rsidP="007625FD">
      <w:pPr>
        <w:jc w:val="both"/>
      </w:pPr>
      <w:r>
        <w:t>In preparation for UPI adoption and implementation by supervisory authorities, the DSB continues to work with ROC, and industry stakeholders to refine the requirements and framework for the UPI.</w:t>
      </w:r>
    </w:p>
    <w:p w14:paraId="69C89A27" w14:textId="77777777" w:rsidR="007625FD" w:rsidRDefault="007625FD" w:rsidP="007625FD">
      <w:pPr>
        <w:jc w:val="both"/>
      </w:pPr>
    </w:p>
    <w:p w14:paraId="4FCEAC19" w14:textId="77777777" w:rsidR="007625FD" w:rsidRPr="00DD1978" w:rsidRDefault="007625FD" w:rsidP="007625FD">
      <w:pPr>
        <w:pStyle w:val="Heading2"/>
        <w:spacing w:line="276" w:lineRule="auto"/>
      </w:pPr>
      <w:bookmarkStart w:id="43" w:name="_Toc60651775"/>
      <w:bookmarkStart w:id="44" w:name="_Toc69801993"/>
      <w:bookmarkStart w:id="45" w:name="_Toc86680471"/>
      <w:r w:rsidRPr="00DD1978">
        <w:t>UPI Adoption Expectations</w:t>
      </w:r>
      <w:bookmarkEnd w:id="43"/>
      <w:bookmarkEnd w:id="44"/>
      <w:bookmarkEnd w:id="45"/>
      <w:r w:rsidRPr="00DD1978">
        <w:t xml:space="preserve"> </w:t>
      </w:r>
    </w:p>
    <w:p w14:paraId="46AD246E" w14:textId="77777777" w:rsidR="007625FD" w:rsidRDefault="007625FD" w:rsidP="007625FD">
      <w:pPr>
        <w:jc w:val="both"/>
      </w:pPr>
      <w:r>
        <w:t xml:space="preserve">This section serves as a reminder of regulatory adoption expectations. The DSB has revised the data presented in the previous consultation papers to reflect the most current information, as the subject remains of interest to most industry participants. </w:t>
      </w:r>
    </w:p>
    <w:p w14:paraId="7B5B78A2" w14:textId="0768FDDB" w:rsidR="007625FD" w:rsidRPr="007D0CB8" w:rsidRDefault="007625FD" w:rsidP="007625FD">
      <w:pPr>
        <w:jc w:val="both"/>
      </w:pPr>
      <w:r w:rsidRPr="009F5C43">
        <w:t xml:space="preserve">Regulatory insight from </w:t>
      </w:r>
      <w:r>
        <w:t>thirteen G20 jurisdictions - including those that dominate the capital markets landscape across N</w:t>
      </w:r>
      <w:r w:rsidRPr="007D0CB8">
        <w:t>orth America, Europe, Africa, and Asia</w:t>
      </w:r>
      <w:r>
        <w:t xml:space="preserve"> -</w:t>
      </w:r>
      <w:r w:rsidRPr="009F5C43">
        <w:t xml:space="preserve"> indicates that rules to support UPI reporting are expected to be in place </w:t>
      </w:r>
      <w:r>
        <w:t xml:space="preserve">by late </w:t>
      </w:r>
      <w:r w:rsidRPr="009F5C43">
        <w:t>2022</w:t>
      </w:r>
      <w:r>
        <w:t xml:space="preserve"> to 2023</w:t>
      </w:r>
      <w:r w:rsidRPr="009F5C43">
        <w:t>, with final adoption</w:t>
      </w:r>
      <w:r w:rsidRPr="007D0CB8">
        <w:t xml:space="preserve"> timelines subject to availability of the </w:t>
      </w:r>
      <w:r w:rsidR="00F07F21">
        <w:t>UPI Service</w:t>
      </w:r>
      <w:r w:rsidRPr="007D0CB8">
        <w:t xml:space="preserve"> by the DSB, and market consultation</w:t>
      </w:r>
      <w:r>
        <w:t xml:space="preserve"> by regulators</w:t>
      </w:r>
      <w:r w:rsidRPr="007D0CB8">
        <w:t xml:space="preserve">. Regulators, in the main, note their expectation that all asset classes will be reportable via a “big bang” approach. </w:t>
      </w:r>
    </w:p>
    <w:p w14:paraId="7F2FD589" w14:textId="77777777" w:rsidR="007625FD" w:rsidRPr="007D0CB8" w:rsidRDefault="007625FD" w:rsidP="007625FD">
      <w:pPr>
        <w:jc w:val="both"/>
      </w:pPr>
      <w:r>
        <w:t xml:space="preserve">Several </w:t>
      </w:r>
      <w:r w:rsidRPr="007D0CB8">
        <w:t xml:space="preserve">regulators have noted that they </w:t>
      </w:r>
      <w:r>
        <w:t xml:space="preserve">are either actively consulting with, or </w:t>
      </w:r>
      <w:r w:rsidRPr="007D0CB8">
        <w:t>intend to consult with</w:t>
      </w:r>
      <w:r>
        <w:t>,</w:t>
      </w:r>
      <w:r w:rsidRPr="007D0CB8">
        <w:t xml:space="preserve"> the market </w:t>
      </w:r>
      <w:r>
        <w:t>on</w:t>
      </w:r>
      <w:r w:rsidRPr="007D0CB8">
        <w:t xml:space="preserve"> the specific timing of implementation</w:t>
      </w:r>
      <w:r>
        <w:t xml:space="preserve">; </w:t>
      </w:r>
      <w:r w:rsidRPr="007D0CB8">
        <w:t xml:space="preserve">as well as whether UPI adoption should be phased by </w:t>
      </w:r>
      <w:r w:rsidRPr="007D0CB8">
        <w:lastRenderedPageBreak/>
        <w:t>size of the reporting institution</w:t>
      </w:r>
      <w:r>
        <w:t xml:space="preserve"> -</w:t>
      </w:r>
      <w:r w:rsidRPr="007D0CB8">
        <w:t xml:space="preserve"> such that larger institutions are in the first phase. In addition, some jurisdictions are in the processes of </w:t>
      </w:r>
      <w:proofErr w:type="spellStart"/>
      <w:r w:rsidRPr="007D0CB8">
        <w:t>finalising</w:t>
      </w:r>
      <w:proofErr w:type="spellEnd"/>
      <w:r w:rsidRPr="007D0CB8">
        <w:t xml:space="preserve"> their trade reporting infrastructure, while others have noted their intention to proceed with introduction of the UPI in a manner that aligns with other regional regulators.  </w:t>
      </w:r>
    </w:p>
    <w:p w14:paraId="691FDE2E" w14:textId="77777777" w:rsidR="007625FD" w:rsidRDefault="007625FD" w:rsidP="007625FD">
      <w:pPr>
        <w:jc w:val="both"/>
      </w:pPr>
      <w:r>
        <w:t>Timeliness of r</w:t>
      </w:r>
      <w:r w:rsidRPr="007D0CB8">
        <w:t>eporting</w:t>
      </w:r>
      <w:r>
        <w:t xml:space="preserve"> largely </w:t>
      </w:r>
      <w:r w:rsidRPr="007D0CB8">
        <w:t>converg</w:t>
      </w:r>
      <w:r>
        <w:t xml:space="preserve">es around </w:t>
      </w:r>
      <w:r w:rsidRPr="007D0CB8">
        <w:t xml:space="preserve">T+1 </w:t>
      </w:r>
      <w:r>
        <w:t>expectations</w:t>
      </w:r>
      <w:r w:rsidRPr="007D0CB8">
        <w:t xml:space="preserve">, </w:t>
      </w:r>
      <w:r>
        <w:t xml:space="preserve">with the </w:t>
      </w:r>
      <w:r w:rsidRPr="007D0CB8">
        <w:t xml:space="preserve">spectrum spanning </w:t>
      </w:r>
      <w:proofErr w:type="gramStart"/>
      <w:r w:rsidRPr="007D0CB8">
        <w:t xml:space="preserve">from </w:t>
      </w:r>
      <w:r>
        <w:t xml:space="preserve">as soon as technologically practicable following </w:t>
      </w:r>
      <w:r w:rsidRPr="007D0CB8">
        <w:t>trade execution</w:t>
      </w:r>
      <w:r w:rsidRPr="003F5F8A">
        <w:t>,</w:t>
      </w:r>
      <w:proofErr w:type="gramEnd"/>
      <w:r w:rsidRPr="003F5F8A">
        <w:t xml:space="preserve"> to T+2. In addition, </w:t>
      </w:r>
      <w:r>
        <w:t xml:space="preserve">it is expected that several </w:t>
      </w:r>
      <w:r w:rsidRPr="003F5F8A">
        <w:t xml:space="preserve">jurisdictions </w:t>
      </w:r>
      <w:r>
        <w:t>rely on</w:t>
      </w:r>
      <w:r w:rsidRPr="003F5F8A">
        <w:t xml:space="preserve"> dual-s</w:t>
      </w:r>
      <w:r w:rsidRPr="009F5C43">
        <w:t xml:space="preserve">ided reporting, such that both parties in the transaction would </w:t>
      </w:r>
      <w:r>
        <w:t xml:space="preserve">/may </w:t>
      </w:r>
      <w:r w:rsidRPr="009F5C43">
        <w:t>need access to the UPI reference da</w:t>
      </w:r>
      <w:r w:rsidRPr="007D0CB8">
        <w:t>ta record generated by the DSB</w:t>
      </w:r>
      <w:r>
        <w:t xml:space="preserve"> (either directly from the DSB or via a data or technology vendor). </w:t>
      </w:r>
    </w:p>
    <w:p w14:paraId="069B7CD5" w14:textId="77777777" w:rsidR="007625FD" w:rsidRPr="0050703F" w:rsidRDefault="007625FD" w:rsidP="007625FD">
      <w:pPr>
        <w:jc w:val="both"/>
      </w:pPr>
      <w:r>
        <w:t xml:space="preserve">The DSB continues to engage with authorities on regulatory adoption expectations to ensure DSB UPI implementation planning is aligned with the needs and priorities of stakeholders. </w:t>
      </w:r>
    </w:p>
    <w:p w14:paraId="16109CFF" w14:textId="77777777" w:rsidR="007625FD" w:rsidRPr="0050703F" w:rsidRDefault="007625FD" w:rsidP="007625FD">
      <w:pPr>
        <w:jc w:val="both"/>
      </w:pPr>
    </w:p>
    <w:p w14:paraId="16639D29" w14:textId="77777777" w:rsidR="007625FD" w:rsidRPr="00CD78BD" w:rsidRDefault="007625FD" w:rsidP="007625FD">
      <w:pPr>
        <w:pStyle w:val="Heading2"/>
        <w:spacing w:line="276" w:lineRule="auto"/>
      </w:pPr>
      <w:bookmarkStart w:id="46" w:name="_Toc517783476"/>
      <w:bookmarkStart w:id="47" w:name="_Toc13087123"/>
      <w:bookmarkStart w:id="48" w:name="_Toc38842402"/>
      <w:bookmarkStart w:id="49" w:name="_Toc70666960"/>
      <w:bookmarkStart w:id="50" w:name="_Ref86399380"/>
      <w:bookmarkStart w:id="51" w:name="_Ref67040095"/>
      <w:bookmarkStart w:id="52" w:name="_Toc69801994"/>
      <w:bookmarkStart w:id="53" w:name="_Toc86680472"/>
      <w:r w:rsidRPr="00CD78BD">
        <w:t>DSB Principles</w:t>
      </w:r>
      <w:bookmarkEnd w:id="46"/>
      <w:bookmarkEnd w:id="47"/>
      <w:bookmarkEnd w:id="48"/>
      <w:bookmarkEnd w:id="49"/>
      <w:bookmarkEnd w:id="50"/>
      <w:bookmarkEnd w:id="53"/>
    </w:p>
    <w:p w14:paraId="0690DC0E" w14:textId="7FD0414E" w:rsidR="007625FD" w:rsidRPr="00D36748" w:rsidRDefault="007625FD" w:rsidP="007625FD">
      <w:pPr>
        <w:jc w:val="both"/>
      </w:pPr>
      <w:r w:rsidRPr="00D36748">
        <w:t xml:space="preserve">Below is a table with a brief statement on the five key principles relied on by the DSB in </w:t>
      </w:r>
      <w:r>
        <w:t>relation to</w:t>
      </w:r>
      <w:r w:rsidRPr="00D36748">
        <w:t xml:space="preserve"> the </w:t>
      </w:r>
      <w:r>
        <w:t>existing legal terms (</w:t>
      </w:r>
      <w:r w:rsidRPr="00D36748">
        <w:t xml:space="preserve">Access and Usage Agreement </w:t>
      </w:r>
      <w:r>
        <w:t xml:space="preserve">and accompanying policies) </w:t>
      </w:r>
      <w:r w:rsidRPr="00D36748">
        <w:t xml:space="preserve">and fee model. </w:t>
      </w:r>
      <w:r>
        <w:t>These principles underpin the considerations and rationale behind the proposals contained within this Consultation Paper, as part of the planning for the launch of the UPI Service in 2022.</w:t>
      </w:r>
    </w:p>
    <w:tbl>
      <w:tblPr>
        <w:tblStyle w:val="GridTable5Dark-Accent1"/>
        <w:tblW w:w="0" w:type="auto"/>
        <w:tblLook w:val="04A0" w:firstRow="1" w:lastRow="0" w:firstColumn="1" w:lastColumn="0" w:noHBand="0" w:noVBand="1"/>
      </w:tblPr>
      <w:tblGrid>
        <w:gridCol w:w="1361"/>
        <w:gridCol w:w="7729"/>
      </w:tblGrid>
      <w:tr w:rsidR="007625FD" w:rsidRPr="00D36748" w14:paraId="72369C35" w14:textId="77777777" w:rsidTr="00EB317C">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1271" w:type="dxa"/>
            <w:shd w:val="clear" w:color="auto" w:fill="30AFB8"/>
            <w:vAlign w:val="center"/>
            <w:hideMark/>
          </w:tcPr>
          <w:p w14:paraId="7E56B45D" w14:textId="77777777" w:rsidR="007625FD" w:rsidRPr="00D36748" w:rsidRDefault="007625FD" w:rsidP="00EB317C">
            <w:pPr>
              <w:spacing w:after="120" w:line="276" w:lineRule="auto"/>
              <w:jc w:val="both"/>
              <w:textAlignment w:val="baseline"/>
              <w:rPr>
                <w:rFonts w:eastAsia="Times New Roman" w:cstheme="minorHAnsi"/>
                <w:b w:val="0"/>
                <w:bCs w:val="0"/>
                <w:color w:val="FFFFFF"/>
                <w:lang w:val="en-GB" w:eastAsia="en-GB"/>
              </w:rPr>
            </w:pPr>
            <w:r w:rsidRPr="00D36748">
              <w:rPr>
                <w:rFonts w:eastAsia="Times New Roman" w:cstheme="minorHAnsi"/>
                <w:color w:val="FFFFFF"/>
                <w:lang w:val="en-GB" w:eastAsia="en-GB"/>
              </w:rPr>
              <w:t>Principle </w:t>
            </w:r>
          </w:p>
        </w:tc>
        <w:tc>
          <w:tcPr>
            <w:tcW w:w="7729" w:type="dxa"/>
            <w:shd w:val="clear" w:color="auto" w:fill="30AFB8"/>
            <w:vAlign w:val="center"/>
            <w:hideMark/>
          </w:tcPr>
          <w:p w14:paraId="5F52453A" w14:textId="77777777" w:rsidR="007625FD" w:rsidRPr="00D36748" w:rsidRDefault="007625FD" w:rsidP="00EB317C">
            <w:pPr>
              <w:spacing w:after="120" w:line="276" w:lineRule="auto"/>
              <w:jc w:val="both"/>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lang w:val="en-GB" w:eastAsia="en-GB"/>
              </w:rPr>
            </w:pPr>
            <w:r w:rsidRPr="00D36748">
              <w:rPr>
                <w:rFonts w:eastAsia="Times New Roman" w:cstheme="minorHAnsi"/>
                <w:color w:val="FFFFFF"/>
                <w:lang w:val="en-GB" w:eastAsia="en-GB"/>
              </w:rPr>
              <w:t>Brief Description </w:t>
            </w:r>
          </w:p>
        </w:tc>
      </w:tr>
      <w:tr w:rsidR="007625FD" w:rsidRPr="00D36748" w14:paraId="18548855" w14:textId="77777777" w:rsidTr="00EB317C">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271" w:type="dxa"/>
            <w:shd w:val="clear" w:color="auto" w:fill="30AFB8"/>
            <w:vAlign w:val="center"/>
            <w:hideMark/>
          </w:tcPr>
          <w:p w14:paraId="34138ACD" w14:textId="77777777" w:rsidR="007625FD" w:rsidRPr="00D36748" w:rsidRDefault="007625FD" w:rsidP="00EB317C">
            <w:pPr>
              <w:spacing w:after="120" w:line="276" w:lineRule="auto"/>
              <w:jc w:val="both"/>
              <w:textAlignment w:val="baseline"/>
              <w:rPr>
                <w:rFonts w:eastAsia="Times New Roman" w:cstheme="minorHAnsi"/>
                <w:lang w:val="en-GB" w:eastAsia="en-GB"/>
              </w:rPr>
            </w:pPr>
            <w:r w:rsidRPr="00D36748">
              <w:rPr>
                <w:rFonts w:eastAsia="Times New Roman" w:cstheme="minorHAnsi"/>
                <w:lang w:val="en-GB" w:eastAsia="en-GB"/>
              </w:rPr>
              <w:t>Cost Recovery </w:t>
            </w:r>
          </w:p>
        </w:tc>
        <w:tc>
          <w:tcPr>
            <w:tcW w:w="7729" w:type="dxa"/>
            <w:shd w:val="clear" w:color="auto" w:fill="auto"/>
            <w:vAlign w:val="center"/>
            <w:hideMark/>
          </w:tcPr>
          <w:p w14:paraId="6CC0A386" w14:textId="0E231EE3" w:rsidR="007625FD" w:rsidRPr="00D36748" w:rsidRDefault="007625FD" w:rsidP="00EB317C">
            <w:pPr>
              <w:spacing w:before="120" w:after="12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val="en-GB" w:eastAsia="en-GB"/>
              </w:rPr>
            </w:pPr>
            <w:r w:rsidRPr="00D36748">
              <w:rPr>
                <w:rFonts w:eastAsia="Times New Roman" w:cstheme="minorHAnsi"/>
                <w:lang w:val="en-GB" w:eastAsia="en-GB"/>
              </w:rPr>
              <w:t xml:space="preserve">The DSB will provide </w:t>
            </w:r>
            <w:r w:rsidR="00896EDE">
              <w:rPr>
                <w:rFonts w:eastAsia="Times New Roman" w:cstheme="minorHAnsi"/>
                <w:lang w:val="en-GB" w:eastAsia="en-GB"/>
              </w:rPr>
              <w:t>the UPI Service</w:t>
            </w:r>
            <w:r w:rsidRPr="00D36748">
              <w:rPr>
                <w:rFonts w:eastAsia="Times New Roman" w:cstheme="minorHAnsi"/>
                <w:lang w:val="en-GB" w:eastAsia="en-GB"/>
              </w:rPr>
              <w:t xml:space="preserve"> on a cost recovery basis. This means that the revenues must be sufficient to ensure that the numbering agency has the financial viability to meet its continuing obligation to provide these services. </w:t>
            </w:r>
          </w:p>
          <w:p w14:paraId="354E4FB4" w14:textId="1EBEBAB6" w:rsidR="007625FD" w:rsidRPr="00D36748" w:rsidRDefault="007625FD" w:rsidP="00EB317C">
            <w:pPr>
              <w:spacing w:after="12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val="en-GB" w:eastAsia="en-GB"/>
              </w:rPr>
            </w:pPr>
            <w:r w:rsidRPr="00D36748">
              <w:rPr>
                <w:rFonts w:eastAsia="Times New Roman" w:cstheme="minorHAnsi"/>
                <w:lang w:val="en-GB" w:eastAsia="en-GB"/>
              </w:rPr>
              <w:t>Furthermore, the funding model needs to be sustainable, which includes the need to be efficient and reliable. </w:t>
            </w:r>
          </w:p>
        </w:tc>
      </w:tr>
      <w:tr w:rsidR="007625FD" w:rsidRPr="00D36748" w14:paraId="25D21012" w14:textId="77777777" w:rsidTr="00EB317C">
        <w:trPr>
          <w:trHeight w:val="2655"/>
        </w:trPr>
        <w:tc>
          <w:tcPr>
            <w:cnfStyle w:val="001000000000" w:firstRow="0" w:lastRow="0" w:firstColumn="1" w:lastColumn="0" w:oddVBand="0" w:evenVBand="0" w:oddHBand="0" w:evenHBand="0" w:firstRowFirstColumn="0" w:firstRowLastColumn="0" w:lastRowFirstColumn="0" w:lastRowLastColumn="0"/>
            <w:tcW w:w="1271" w:type="dxa"/>
            <w:shd w:val="clear" w:color="auto" w:fill="30AFB8"/>
            <w:vAlign w:val="center"/>
            <w:hideMark/>
          </w:tcPr>
          <w:p w14:paraId="7DFED37B" w14:textId="77777777" w:rsidR="007625FD" w:rsidRPr="00D36748" w:rsidRDefault="007625FD" w:rsidP="00EB317C">
            <w:pPr>
              <w:spacing w:after="120" w:line="276" w:lineRule="auto"/>
              <w:jc w:val="both"/>
              <w:textAlignment w:val="baseline"/>
              <w:rPr>
                <w:rFonts w:eastAsia="Times New Roman" w:cstheme="minorHAnsi"/>
                <w:lang w:val="en-GB" w:eastAsia="en-GB"/>
              </w:rPr>
            </w:pPr>
            <w:r w:rsidRPr="00D36748">
              <w:rPr>
                <w:rFonts w:eastAsia="Times New Roman" w:cstheme="minorHAnsi"/>
                <w:lang w:val="en-GB" w:eastAsia="en-GB"/>
              </w:rPr>
              <w:t>Unrestricted Data </w:t>
            </w:r>
          </w:p>
        </w:tc>
        <w:tc>
          <w:tcPr>
            <w:tcW w:w="7729" w:type="dxa"/>
            <w:shd w:val="clear" w:color="auto" w:fill="BCEAEE"/>
            <w:vAlign w:val="center"/>
            <w:hideMark/>
          </w:tcPr>
          <w:p w14:paraId="34041523" w14:textId="7464AA3A" w:rsidR="007625FD" w:rsidRPr="00D36748" w:rsidRDefault="007625FD" w:rsidP="00EB317C">
            <w:pPr>
              <w:spacing w:before="120" w:after="120"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val="en-GB" w:eastAsia="en-GB"/>
              </w:rPr>
            </w:pPr>
            <w:r>
              <w:rPr>
                <w:rFonts w:eastAsia="Times New Roman" w:cstheme="minorHAnsi"/>
                <w:lang w:val="en-GB" w:eastAsia="en-GB"/>
              </w:rPr>
              <w:t xml:space="preserve">As for the OTC ISIN </w:t>
            </w:r>
            <w:r w:rsidR="007948DF">
              <w:rPr>
                <w:rFonts w:eastAsia="Times New Roman" w:cstheme="minorHAnsi"/>
                <w:lang w:val="en-GB" w:eastAsia="en-GB"/>
              </w:rPr>
              <w:t>S</w:t>
            </w:r>
            <w:r>
              <w:rPr>
                <w:rFonts w:eastAsia="Times New Roman" w:cstheme="minorHAnsi"/>
                <w:lang w:val="en-GB" w:eastAsia="en-GB"/>
              </w:rPr>
              <w:t>ervice, t</w:t>
            </w:r>
            <w:r w:rsidRPr="00D36748">
              <w:rPr>
                <w:rFonts w:eastAsia="Times New Roman" w:cstheme="minorHAnsi"/>
                <w:lang w:val="en-GB" w:eastAsia="en-GB"/>
              </w:rPr>
              <w:t>he DSB intends that no data associated with the definition of a</w:t>
            </w:r>
            <w:r>
              <w:rPr>
                <w:rFonts w:eastAsia="Times New Roman" w:cstheme="minorHAnsi"/>
                <w:lang w:val="en-GB" w:eastAsia="en-GB"/>
              </w:rPr>
              <w:t xml:space="preserve"> UPI</w:t>
            </w:r>
            <w:r w:rsidRPr="00D36748">
              <w:rPr>
                <w:rFonts w:eastAsia="Times New Roman" w:cstheme="minorHAnsi"/>
                <w:lang w:val="en-GB" w:eastAsia="en-GB"/>
              </w:rPr>
              <w:t xml:space="preserve"> will have licensing restrictions dictating usage or distribution.  </w:t>
            </w:r>
          </w:p>
          <w:p w14:paraId="1BABB882" w14:textId="77777777" w:rsidR="007625FD" w:rsidRPr="00D36748" w:rsidRDefault="007625FD" w:rsidP="00EB317C">
            <w:pPr>
              <w:spacing w:after="120"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val="en-GB" w:eastAsia="en-GB"/>
              </w:rPr>
            </w:pPr>
            <w:r w:rsidRPr="00D36748">
              <w:rPr>
                <w:rFonts w:eastAsia="Times New Roman" w:cstheme="minorHAnsi"/>
                <w:lang w:val="en-GB" w:eastAsia="en-GB"/>
              </w:rPr>
              <w:t>If the DSB Product Committee (</w:t>
            </w:r>
            <w:hyperlink r:id="rId30" w:tgtFrame="_blank" w:history="1">
              <w:r w:rsidRPr="00D36748">
                <w:rPr>
                  <w:rFonts w:eastAsia="Times New Roman" w:cstheme="minorHAnsi"/>
                  <w:color w:val="0563C1"/>
                  <w:u w:val="single"/>
                  <w:lang w:val="en-GB" w:eastAsia="en-GB"/>
                </w:rPr>
                <w:t>http://www.anna-web.org/dsb-product-committee/</w:t>
              </w:r>
            </w:hyperlink>
            <w:r w:rsidRPr="00D36748">
              <w:rPr>
                <w:rFonts w:eastAsia="Times New Roman" w:cstheme="minorHAnsi"/>
                <w:lang w:val="en-GB" w:eastAsia="en-GB"/>
              </w:rPr>
              <w:t>) determines that there is no viable alternative to the use of licensed or restricted data in a product definition, the DSB will review the impact to its Unrestricted Data policy at that time, taking into account the specific products and attributes that are impacted by the incorporation of licensed or restricted data in the product definitions. </w:t>
            </w:r>
          </w:p>
        </w:tc>
      </w:tr>
      <w:tr w:rsidR="007625FD" w:rsidRPr="00D36748" w14:paraId="3B232676" w14:textId="77777777" w:rsidTr="00EB317C">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271" w:type="dxa"/>
            <w:shd w:val="clear" w:color="auto" w:fill="30AFB8"/>
            <w:vAlign w:val="center"/>
            <w:hideMark/>
          </w:tcPr>
          <w:p w14:paraId="06BF48E7" w14:textId="77777777" w:rsidR="007625FD" w:rsidRPr="00D36748" w:rsidRDefault="007625FD" w:rsidP="00EB317C">
            <w:pPr>
              <w:spacing w:after="120" w:line="276" w:lineRule="auto"/>
              <w:jc w:val="both"/>
              <w:textAlignment w:val="baseline"/>
              <w:rPr>
                <w:rFonts w:eastAsia="Times New Roman" w:cstheme="minorHAnsi"/>
                <w:lang w:val="en-GB" w:eastAsia="en-GB"/>
              </w:rPr>
            </w:pPr>
            <w:r w:rsidRPr="00D36748">
              <w:rPr>
                <w:rFonts w:eastAsia="Times New Roman" w:cstheme="minorHAnsi"/>
                <w:lang w:val="en-GB" w:eastAsia="en-GB"/>
              </w:rPr>
              <w:t>Open Access </w:t>
            </w:r>
          </w:p>
        </w:tc>
        <w:tc>
          <w:tcPr>
            <w:tcW w:w="7729" w:type="dxa"/>
            <w:shd w:val="clear" w:color="auto" w:fill="auto"/>
            <w:vAlign w:val="center"/>
            <w:hideMark/>
          </w:tcPr>
          <w:p w14:paraId="735C6888" w14:textId="325A5251" w:rsidR="007625FD" w:rsidRPr="00D36748" w:rsidRDefault="007625FD" w:rsidP="00EB317C">
            <w:pPr>
              <w:spacing w:before="120" w:after="12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val="en-GB" w:eastAsia="en-GB"/>
              </w:rPr>
            </w:pPr>
            <w:r w:rsidRPr="00D36748">
              <w:rPr>
                <w:rFonts w:eastAsia="Times New Roman" w:cstheme="minorHAnsi"/>
                <w:lang w:val="en-GB" w:eastAsia="en-GB"/>
              </w:rPr>
              <w:t xml:space="preserve">Access to the DSB archive for consumption of </w:t>
            </w:r>
            <w:r>
              <w:rPr>
                <w:rFonts w:eastAsia="Times New Roman" w:cstheme="minorHAnsi"/>
                <w:lang w:val="en-GB" w:eastAsia="en-GB"/>
              </w:rPr>
              <w:t>UPIs</w:t>
            </w:r>
            <w:r w:rsidRPr="00D36748">
              <w:rPr>
                <w:rFonts w:eastAsia="Times New Roman" w:cstheme="minorHAnsi"/>
                <w:lang w:val="en-GB" w:eastAsia="en-GB"/>
              </w:rPr>
              <w:t xml:space="preserve"> and </w:t>
            </w:r>
            <w:r w:rsidR="000001DB" w:rsidRPr="00D36748">
              <w:rPr>
                <w:rFonts w:eastAsia="Times New Roman" w:cstheme="minorHAnsi"/>
                <w:lang w:val="en-GB" w:eastAsia="en-GB"/>
              </w:rPr>
              <w:t>data associated with the definition of a</w:t>
            </w:r>
            <w:r w:rsidR="000001DB">
              <w:rPr>
                <w:rFonts w:eastAsia="Times New Roman" w:cstheme="minorHAnsi"/>
                <w:lang w:val="en-GB" w:eastAsia="en-GB"/>
              </w:rPr>
              <w:t xml:space="preserve"> UPI</w:t>
            </w:r>
            <w:r w:rsidR="000001DB" w:rsidRPr="00D36748">
              <w:rPr>
                <w:rFonts w:eastAsia="Times New Roman" w:cstheme="minorHAnsi"/>
                <w:lang w:val="en-GB" w:eastAsia="en-GB"/>
              </w:rPr>
              <w:t xml:space="preserve"> </w:t>
            </w:r>
            <w:r w:rsidRPr="00D36748">
              <w:rPr>
                <w:rFonts w:eastAsia="Times New Roman" w:cstheme="minorHAnsi"/>
                <w:lang w:val="en-GB" w:eastAsia="en-GB"/>
              </w:rPr>
              <w:t xml:space="preserve">will be available to all organizations and </w:t>
            </w:r>
            <w:r>
              <w:rPr>
                <w:rFonts w:eastAsia="Times New Roman" w:cstheme="minorHAnsi"/>
                <w:lang w:val="en-GB" w:eastAsia="en-GB"/>
              </w:rPr>
              <w:t>User</w:t>
            </w:r>
            <w:r w:rsidRPr="00D36748">
              <w:rPr>
                <w:rFonts w:eastAsia="Times New Roman" w:cstheme="minorHAnsi"/>
                <w:lang w:val="en-GB" w:eastAsia="en-GB"/>
              </w:rPr>
              <w:t>s. </w:t>
            </w:r>
          </w:p>
        </w:tc>
      </w:tr>
      <w:tr w:rsidR="007625FD" w:rsidRPr="00D36748" w14:paraId="7959E7DF" w14:textId="77777777" w:rsidTr="00EB317C">
        <w:trPr>
          <w:trHeight w:val="2265"/>
        </w:trPr>
        <w:tc>
          <w:tcPr>
            <w:cnfStyle w:val="001000000000" w:firstRow="0" w:lastRow="0" w:firstColumn="1" w:lastColumn="0" w:oddVBand="0" w:evenVBand="0" w:oddHBand="0" w:evenHBand="0" w:firstRowFirstColumn="0" w:firstRowLastColumn="0" w:lastRowFirstColumn="0" w:lastRowLastColumn="0"/>
            <w:tcW w:w="1271" w:type="dxa"/>
            <w:shd w:val="clear" w:color="auto" w:fill="30AFB8"/>
            <w:vAlign w:val="center"/>
            <w:hideMark/>
          </w:tcPr>
          <w:p w14:paraId="4E875CDA" w14:textId="77777777" w:rsidR="007625FD" w:rsidRPr="00D36748" w:rsidRDefault="007625FD" w:rsidP="00EB317C">
            <w:pPr>
              <w:spacing w:after="120" w:line="276" w:lineRule="auto"/>
              <w:jc w:val="both"/>
              <w:textAlignment w:val="baseline"/>
              <w:rPr>
                <w:rFonts w:eastAsia="Times New Roman" w:cstheme="minorHAnsi"/>
                <w:lang w:val="en-GB" w:eastAsia="en-GB"/>
              </w:rPr>
            </w:pPr>
            <w:r w:rsidRPr="00D36748">
              <w:rPr>
                <w:rFonts w:eastAsia="Times New Roman" w:cstheme="minorHAnsi"/>
                <w:lang w:val="en-GB" w:eastAsia="en-GB"/>
              </w:rPr>
              <w:lastRenderedPageBreak/>
              <w:t>Payment in Advance </w:t>
            </w:r>
          </w:p>
        </w:tc>
        <w:tc>
          <w:tcPr>
            <w:tcW w:w="7729" w:type="dxa"/>
            <w:shd w:val="clear" w:color="auto" w:fill="BCEAEE"/>
            <w:vAlign w:val="center"/>
            <w:hideMark/>
          </w:tcPr>
          <w:p w14:paraId="3A01E4D2" w14:textId="77777777" w:rsidR="007625FD" w:rsidRPr="00D36748" w:rsidRDefault="007625FD" w:rsidP="00EB317C">
            <w:pPr>
              <w:spacing w:before="120" w:after="120"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val="en-GB" w:eastAsia="en-GB"/>
              </w:rPr>
            </w:pPr>
            <w:r w:rsidRPr="00D36748">
              <w:rPr>
                <w:rFonts w:eastAsia="Times New Roman" w:cstheme="minorHAnsi"/>
                <w:lang w:val="en-GB" w:eastAsia="en-GB"/>
              </w:rPr>
              <w:t>To the extent possible, the DSB will levy fees through annual contracts that require payment in advance.  </w:t>
            </w:r>
          </w:p>
          <w:p w14:paraId="75B42D05" w14:textId="77777777" w:rsidR="007625FD" w:rsidRPr="00D36748" w:rsidRDefault="007625FD" w:rsidP="00EB317C">
            <w:pPr>
              <w:spacing w:after="120"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val="en-GB" w:eastAsia="en-GB"/>
              </w:rPr>
            </w:pPr>
            <w:r w:rsidRPr="00D36748">
              <w:rPr>
                <w:rFonts w:eastAsia="Times New Roman" w:cstheme="minorHAnsi"/>
                <w:lang w:val="en-GB" w:eastAsia="en-GB"/>
              </w:rPr>
              <w:t>This advance yearly commitment offers the DSB more clarity in aligning fee levels with cost recovery.  </w:t>
            </w:r>
          </w:p>
          <w:p w14:paraId="1C3005C4" w14:textId="54B8137E" w:rsidR="007625FD" w:rsidRPr="00D36748" w:rsidRDefault="007625FD" w:rsidP="00EB317C">
            <w:pPr>
              <w:spacing w:after="120"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val="en-GB" w:eastAsia="en-GB"/>
              </w:rPr>
            </w:pPr>
            <w:r w:rsidRPr="00D36748">
              <w:rPr>
                <w:rFonts w:eastAsia="Times New Roman" w:cstheme="minorHAnsi"/>
                <w:lang w:val="en-GB" w:eastAsia="en-GB"/>
              </w:rPr>
              <w:t xml:space="preserve">For the </w:t>
            </w:r>
            <w:r>
              <w:rPr>
                <w:rFonts w:eastAsia="Times New Roman" w:cstheme="minorHAnsi"/>
                <w:lang w:val="en-GB" w:eastAsia="en-GB"/>
              </w:rPr>
              <w:t>User</w:t>
            </w:r>
            <w:r w:rsidRPr="00D36748">
              <w:rPr>
                <w:rFonts w:eastAsia="Times New Roman" w:cstheme="minorHAnsi"/>
                <w:lang w:val="en-GB" w:eastAsia="en-GB"/>
              </w:rPr>
              <w:t xml:space="preserve">s, it provides improved ability to forecast their costs for utilising </w:t>
            </w:r>
            <w:r w:rsidR="00F07F21">
              <w:rPr>
                <w:rFonts w:eastAsia="Times New Roman" w:cstheme="minorHAnsi"/>
                <w:lang w:val="en-GB" w:eastAsia="en-GB"/>
              </w:rPr>
              <w:t>UPI Service</w:t>
            </w:r>
            <w:r w:rsidRPr="00D36748">
              <w:rPr>
                <w:rFonts w:eastAsia="Times New Roman" w:cstheme="minorHAnsi"/>
                <w:lang w:val="en-GB" w:eastAsia="en-GB"/>
              </w:rPr>
              <w:t>s. </w:t>
            </w:r>
          </w:p>
        </w:tc>
      </w:tr>
      <w:tr w:rsidR="007625FD" w:rsidRPr="00A47D2C" w14:paraId="49CE2233" w14:textId="77777777" w:rsidTr="00EB317C">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0" w:type="dxa"/>
            <w:shd w:val="clear" w:color="auto" w:fill="30AFB8"/>
            <w:vAlign w:val="center"/>
          </w:tcPr>
          <w:p w14:paraId="092154A5" w14:textId="77777777" w:rsidR="007625FD" w:rsidRPr="00D36748" w:rsidRDefault="007625FD" w:rsidP="00EB317C">
            <w:pPr>
              <w:spacing w:after="120" w:line="276" w:lineRule="auto"/>
              <w:jc w:val="both"/>
              <w:textAlignment w:val="baseline"/>
              <w:rPr>
                <w:rFonts w:eastAsia="Times New Roman" w:cstheme="minorHAnsi"/>
                <w:lang w:eastAsia="en-GB"/>
              </w:rPr>
            </w:pPr>
            <w:r w:rsidRPr="00D36748">
              <w:rPr>
                <w:rFonts w:eastAsia="Times New Roman" w:cstheme="minorHAnsi"/>
                <w:lang w:eastAsia="en-GB"/>
              </w:rPr>
              <w:t>Equal Treatment</w:t>
            </w:r>
          </w:p>
        </w:tc>
        <w:tc>
          <w:tcPr>
            <w:tcW w:w="0" w:type="dxa"/>
            <w:shd w:val="clear" w:color="auto" w:fill="auto"/>
            <w:vAlign w:val="center"/>
          </w:tcPr>
          <w:p w14:paraId="5EB8F084" w14:textId="77777777" w:rsidR="007625FD" w:rsidRPr="00D36748" w:rsidRDefault="007625FD" w:rsidP="00EB317C">
            <w:pPr>
              <w:spacing w:before="120" w:after="12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val="en-GB" w:eastAsia="en-GB"/>
              </w:rPr>
            </w:pPr>
            <w:r w:rsidRPr="00D36748">
              <w:rPr>
                <w:rFonts w:eastAsia="Times New Roman" w:cstheme="minorHAnsi"/>
                <w:lang w:val="en-GB" w:eastAsia="en-GB"/>
              </w:rPr>
              <w:t xml:space="preserve">As an industry utility, the DSB aims to ensure parity and efficiency in delivery of our service. This includes following standardised processes and procedures for all </w:t>
            </w:r>
            <w:r>
              <w:rPr>
                <w:rFonts w:eastAsia="Times New Roman" w:cstheme="minorHAnsi"/>
                <w:lang w:val="en-GB" w:eastAsia="en-GB"/>
              </w:rPr>
              <w:t>User</w:t>
            </w:r>
            <w:r w:rsidRPr="00D36748">
              <w:rPr>
                <w:rFonts w:eastAsia="Times New Roman" w:cstheme="minorHAnsi"/>
                <w:lang w:val="en-GB" w:eastAsia="en-GB"/>
              </w:rPr>
              <w:t xml:space="preserve">s of the DSB </w:t>
            </w:r>
            <w:r>
              <w:rPr>
                <w:rFonts w:eastAsia="Times New Roman" w:cstheme="minorHAnsi"/>
                <w:lang w:val="en-GB" w:eastAsia="en-GB"/>
              </w:rPr>
              <w:t xml:space="preserve">within a </w:t>
            </w:r>
            <w:r w:rsidDel="00D3207B">
              <w:rPr>
                <w:rFonts w:eastAsia="Times New Roman" w:cstheme="minorHAnsi"/>
                <w:lang w:val="en-GB" w:eastAsia="en-GB"/>
              </w:rPr>
              <w:t>User</w:t>
            </w:r>
            <w:r>
              <w:rPr>
                <w:rFonts w:eastAsia="Times New Roman" w:cstheme="minorHAnsi"/>
                <w:lang w:val="en-GB" w:eastAsia="en-GB"/>
              </w:rPr>
              <w:t xml:space="preserve"> Type, </w:t>
            </w:r>
            <w:r w:rsidRPr="00D36748">
              <w:rPr>
                <w:rFonts w:eastAsia="Times New Roman" w:cstheme="minorHAnsi"/>
                <w:lang w:val="en-GB" w:eastAsia="en-GB"/>
              </w:rPr>
              <w:t>operating under the cost recovery framework-based service.</w:t>
            </w:r>
          </w:p>
          <w:p w14:paraId="77EFE917" w14:textId="77777777" w:rsidR="007625FD" w:rsidRPr="00CD78BD" w:rsidRDefault="007625FD" w:rsidP="00EB317C">
            <w:pPr>
              <w:spacing w:before="120" w:after="12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val="en-GB" w:eastAsia="en-GB"/>
              </w:rPr>
            </w:pPr>
            <w:r w:rsidRPr="00D36748">
              <w:rPr>
                <w:rFonts w:eastAsia="Times New Roman" w:cstheme="minorHAnsi"/>
                <w:lang w:val="en-GB" w:eastAsia="en-GB"/>
              </w:rPr>
              <w:t xml:space="preserve">The DSB has a common agreement in place ensuring equal treatment across all </w:t>
            </w:r>
            <w:r>
              <w:rPr>
                <w:rFonts w:eastAsia="Times New Roman" w:cstheme="minorHAnsi"/>
                <w:lang w:val="en-GB" w:eastAsia="en-GB"/>
              </w:rPr>
              <w:t>User</w:t>
            </w:r>
            <w:r w:rsidRPr="00D36748">
              <w:rPr>
                <w:rFonts w:eastAsia="Times New Roman" w:cstheme="minorHAnsi"/>
                <w:lang w:val="en-GB" w:eastAsia="en-GB"/>
              </w:rPr>
              <w:t>s</w:t>
            </w:r>
            <w:r>
              <w:rPr>
                <w:rFonts w:eastAsia="Times New Roman" w:cstheme="minorHAnsi"/>
                <w:lang w:val="en-GB" w:eastAsia="en-GB"/>
              </w:rPr>
              <w:t xml:space="preserve"> within a </w:t>
            </w:r>
            <w:r w:rsidDel="00D3207B">
              <w:rPr>
                <w:rFonts w:eastAsia="Times New Roman" w:cstheme="minorHAnsi"/>
                <w:lang w:val="en-GB" w:eastAsia="en-GB"/>
              </w:rPr>
              <w:t>User</w:t>
            </w:r>
            <w:r>
              <w:rPr>
                <w:rFonts w:eastAsia="Times New Roman" w:cstheme="minorHAnsi"/>
                <w:lang w:val="en-GB" w:eastAsia="en-GB"/>
              </w:rPr>
              <w:t xml:space="preserve"> Type</w:t>
            </w:r>
            <w:r w:rsidRPr="00D36748">
              <w:rPr>
                <w:rFonts w:eastAsia="Times New Roman" w:cstheme="minorHAnsi"/>
                <w:lang w:val="en-GB" w:eastAsia="en-GB"/>
              </w:rPr>
              <w:t xml:space="preserve">. Any exceptions to the terms are only introduced on the basis that they can be consistently applied across all </w:t>
            </w:r>
            <w:r>
              <w:rPr>
                <w:rFonts w:eastAsia="Times New Roman" w:cstheme="minorHAnsi"/>
                <w:lang w:val="en-GB" w:eastAsia="en-GB"/>
              </w:rPr>
              <w:t>User</w:t>
            </w:r>
            <w:r w:rsidRPr="00D36748">
              <w:rPr>
                <w:rFonts w:eastAsia="Times New Roman" w:cstheme="minorHAnsi"/>
                <w:lang w:val="en-GB" w:eastAsia="en-GB"/>
              </w:rPr>
              <w:t>s without imposing a risk on the service.</w:t>
            </w:r>
          </w:p>
        </w:tc>
      </w:tr>
    </w:tbl>
    <w:p w14:paraId="0402C856" w14:textId="77777777" w:rsidR="007625FD" w:rsidRDefault="007625FD" w:rsidP="007625FD">
      <w:pPr>
        <w:jc w:val="both"/>
        <w:rPr>
          <w:highlight w:val="yellow"/>
        </w:rPr>
      </w:pPr>
    </w:p>
    <w:p w14:paraId="79CC3B7E" w14:textId="77777777" w:rsidR="007625FD" w:rsidRDefault="007625FD" w:rsidP="007625FD">
      <w:pPr>
        <w:jc w:val="both"/>
        <w:rPr>
          <w:highlight w:val="yellow"/>
        </w:rPr>
      </w:pPr>
    </w:p>
    <w:p w14:paraId="2B135014" w14:textId="77777777" w:rsidR="007625FD" w:rsidRDefault="007625FD" w:rsidP="007625FD">
      <w:pPr>
        <w:rPr>
          <w:rFonts w:asciiTheme="majorHAnsi" w:eastAsiaTheme="majorEastAsia" w:hAnsiTheme="majorHAnsi" w:cstheme="majorBidi"/>
          <w:color w:val="30AEB9"/>
          <w:sz w:val="32"/>
          <w:szCs w:val="32"/>
          <w:lang w:val="en-GB"/>
        </w:rPr>
      </w:pPr>
      <w:r>
        <w:rPr>
          <w:color w:val="30AEB9"/>
        </w:rPr>
        <w:br w:type="page"/>
      </w:r>
    </w:p>
    <w:p w14:paraId="1EF3DA1F" w14:textId="77777777" w:rsidR="007625FD" w:rsidRDefault="007625FD" w:rsidP="007625FD">
      <w:pPr>
        <w:pStyle w:val="Heading1"/>
        <w:spacing w:line="276" w:lineRule="auto"/>
        <w:ind w:hanging="431"/>
        <w:jc w:val="both"/>
        <w:rPr>
          <w:color w:val="30AEB9"/>
        </w:rPr>
      </w:pPr>
      <w:bookmarkStart w:id="54" w:name="_Toc86680473"/>
      <w:r w:rsidRPr="003B1848">
        <w:rPr>
          <w:color w:val="30AEB9"/>
        </w:rPr>
        <w:lastRenderedPageBreak/>
        <w:t xml:space="preserve">Consultation </w:t>
      </w:r>
      <w:bookmarkEnd w:id="25"/>
      <w:bookmarkEnd w:id="26"/>
      <w:bookmarkEnd w:id="27"/>
      <w:bookmarkEnd w:id="28"/>
      <w:bookmarkEnd w:id="51"/>
      <w:bookmarkEnd w:id="52"/>
      <w:r>
        <w:rPr>
          <w:color w:val="30AEB9"/>
        </w:rPr>
        <w:t>Proposals and Questions</w:t>
      </w:r>
      <w:bookmarkEnd w:id="54"/>
    </w:p>
    <w:p w14:paraId="2C675444" w14:textId="77777777" w:rsidR="00573C11" w:rsidRDefault="00573C11" w:rsidP="007625FD"/>
    <w:p w14:paraId="3C7AA21E" w14:textId="41ECFEDD" w:rsidR="0003779A" w:rsidRPr="00A665DD" w:rsidRDefault="0003779A" w:rsidP="0003779A">
      <w:pPr>
        <w:jc w:val="both"/>
      </w:pPr>
      <w:r w:rsidRPr="00A665DD">
        <w:t xml:space="preserve">This consultation paper focuses on the legal provisions and associated mechanisms to facilitate execution of the legal agreement that will </w:t>
      </w:r>
      <w:r w:rsidR="008872F7">
        <w:t>enable</w:t>
      </w:r>
      <w:r w:rsidRPr="00A665DD">
        <w:t xml:space="preserve"> access to paid-for </w:t>
      </w:r>
      <w:r w:rsidR="00F07F21">
        <w:t>UPI Service</w:t>
      </w:r>
      <w:r w:rsidRPr="00A665DD">
        <w:t>s</w:t>
      </w:r>
      <w:r w:rsidRPr="00A665DD">
        <w:rPr>
          <w:rStyle w:val="FootnoteReference"/>
        </w:rPr>
        <w:footnoteReference w:id="43"/>
      </w:r>
      <w:r w:rsidRPr="00A665DD">
        <w:t xml:space="preserve">. Proposals in this </w:t>
      </w:r>
      <w:r w:rsidR="00444538">
        <w:t>paper</w:t>
      </w:r>
      <w:r w:rsidRPr="00A665DD">
        <w:t xml:space="preserve"> are expected to impact:</w:t>
      </w:r>
    </w:p>
    <w:p w14:paraId="47AA1D28" w14:textId="19D8CF01" w:rsidR="0003779A" w:rsidRPr="00A665DD" w:rsidRDefault="0003779A" w:rsidP="0003779A">
      <w:pPr>
        <w:pStyle w:val="ListParagraph"/>
        <w:numPr>
          <w:ilvl w:val="0"/>
          <w:numId w:val="26"/>
        </w:numPr>
        <w:autoSpaceDE/>
        <w:autoSpaceDN/>
        <w:adjustRightInd/>
        <w:spacing w:before="0" w:after="120" w:line="276" w:lineRule="auto"/>
        <w:ind w:right="0"/>
        <w:jc w:val="both"/>
        <w:rPr>
          <w:sz w:val="22"/>
          <w:szCs w:val="22"/>
        </w:rPr>
      </w:pPr>
      <w:r w:rsidRPr="00A665DD">
        <w:rPr>
          <w:sz w:val="22"/>
          <w:szCs w:val="22"/>
        </w:rPr>
        <w:t>Users of the UPI only service – who will be new to the DSB</w:t>
      </w:r>
    </w:p>
    <w:p w14:paraId="7DE06BC2" w14:textId="0AAC9D9C" w:rsidR="00260C8F" w:rsidRPr="00A217BD" w:rsidRDefault="00D86330" w:rsidP="00A217BD">
      <w:pPr>
        <w:pStyle w:val="ListParagraph"/>
        <w:numPr>
          <w:ilvl w:val="1"/>
          <w:numId w:val="26"/>
        </w:numPr>
        <w:autoSpaceDE/>
        <w:autoSpaceDN/>
        <w:adjustRightInd/>
        <w:spacing w:before="0" w:after="120" w:line="276" w:lineRule="auto"/>
        <w:ind w:right="0"/>
        <w:jc w:val="both"/>
        <w:rPr>
          <w:sz w:val="22"/>
          <w:szCs w:val="22"/>
        </w:rPr>
      </w:pPr>
      <w:r w:rsidRPr="00D86330">
        <w:rPr>
          <w:sz w:val="22"/>
          <w:szCs w:val="22"/>
        </w:rPr>
        <w:t>All</w:t>
      </w:r>
      <w:r w:rsidR="00A444AF" w:rsidRPr="00A665DD">
        <w:rPr>
          <w:sz w:val="22"/>
          <w:szCs w:val="22"/>
        </w:rPr>
        <w:t xml:space="preserve"> the sections and associated questions</w:t>
      </w:r>
      <w:r w:rsidR="005A3492" w:rsidRPr="00A665DD">
        <w:rPr>
          <w:sz w:val="22"/>
          <w:szCs w:val="22"/>
        </w:rPr>
        <w:t xml:space="preserve"> below</w:t>
      </w:r>
      <w:r w:rsidR="00A444AF" w:rsidRPr="00A665DD">
        <w:rPr>
          <w:sz w:val="22"/>
          <w:szCs w:val="22"/>
        </w:rPr>
        <w:t xml:space="preserve"> are </w:t>
      </w:r>
      <w:r w:rsidR="00D874FF" w:rsidRPr="00A665DD">
        <w:rPr>
          <w:sz w:val="22"/>
          <w:szCs w:val="22"/>
        </w:rPr>
        <w:t xml:space="preserve">directly </w:t>
      </w:r>
      <w:r w:rsidR="00A444AF" w:rsidRPr="00A665DD">
        <w:rPr>
          <w:sz w:val="22"/>
          <w:szCs w:val="22"/>
        </w:rPr>
        <w:t xml:space="preserve">relevant to </w:t>
      </w:r>
      <w:r w:rsidR="007875F6" w:rsidRPr="00A665DD">
        <w:rPr>
          <w:sz w:val="22"/>
          <w:szCs w:val="22"/>
        </w:rPr>
        <w:t xml:space="preserve">users who plan to subscribe to the </w:t>
      </w:r>
      <w:r w:rsidR="00F07F21">
        <w:rPr>
          <w:sz w:val="22"/>
          <w:szCs w:val="22"/>
        </w:rPr>
        <w:t>UPI Service</w:t>
      </w:r>
      <w:r w:rsidR="00300115" w:rsidRPr="00A665DD">
        <w:rPr>
          <w:sz w:val="22"/>
          <w:szCs w:val="22"/>
        </w:rPr>
        <w:t>.</w:t>
      </w:r>
    </w:p>
    <w:p w14:paraId="17D63364" w14:textId="48173B26" w:rsidR="00565E96" w:rsidRPr="00A217BD" w:rsidRDefault="0003779A" w:rsidP="00A217BD">
      <w:pPr>
        <w:pStyle w:val="ListParagraph"/>
        <w:numPr>
          <w:ilvl w:val="0"/>
          <w:numId w:val="26"/>
        </w:numPr>
        <w:autoSpaceDE/>
        <w:autoSpaceDN/>
        <w:adjustRightInd/>
        <w:spacing w:before="0" w:after="120" w:line="276" w:lineRule="auto"/>
        <w:ind w:right="0"/>
        <w:jc w:val="both"/>
        <w:rPr>
          <w:sz w:val="22"/>
          <w:szCs w:val="22"/>
        </w:rPr>
      </w:pPr>
      <w:r w:rsidRPr="00A665DD">
        <w:rPr>
          <w:sz w:val="22"/>
          <w:szCs w:val="22"/>
        </w:rPr>
        <w:t xml:space="preserve">Users of the OTC ISIN only service – who will be familiar with the DSB’s existing legal agreement (Access and Usage Agreement and accompanying policies) and are likely to experience more limited changes to legal provisions associated with launch of the </w:t>
      </w:r>
      <w:r w:rsidR="00F07F21">
        <w:rPr>
          <w:sz w:val="22"/>
          <w:szCs w:val="22"/>
        </w:rPr>
        <w:t>UPI Service</w:t>
      </w:r>
      <w:r w:rsidRPr="00A665DD">
        <w:rPr>
          <w:sz w:val="22"/>
          <w:szCs w:val="22"/>
        </w:rPr>
        <w:t xml:space="preserve"> (subject to industry feedback in response to this consultation paper)</w:t>
      </w:r>
      <w:r w:rsidRPr="00A665DD">
        <w:rPr>
          <w:rStyle w:val="FootnoteReference"/>
          <w:sz w:val="22"/>
          <w:szCs w:val="22"/>
        </w:rPr>
        <w:footnoteReference w:id="44"/>
      </w:r>
      <w:r w:rsidRPr="00A665DD">
        <w:rPr>
          <w:sz w:val="22"/>
          <w:szCs w:val="22"/>
        </w:rPr>
        <w:t xml:space="preserve"> </w:t>
      </w:r>
    </w:p>
    <w:p w14:paraId="7B013680" w14:textId="79E47489" w:rsidR="0075553D" w:rsidRPr="00A217BD" w:rsidRDefault="001618D9" w:rsidP="00A217BD">
      <w:pPr>
        <w:pStyle w:val="ListParagraph"/>
        <w:numPr>
          <w:ilvl w:val="1"/>
          <w:numId w:val="26"/>
        </w:numPr>
        <w:autoSpaceDE/>
        <w:autoSpaceDN/>
        <w:adjustRightInd/>
        <w:spacing w:before="0" w:after="120" w:line="276" w:lineRule="auto"/>
        <w:ind w:right="0"/>
        <w:jc w:val="both"/>
        <w:rPr>
          <w:sz w:val="22"/>
          <w:szCs w:val="22"/>
        </w:rPr>
      </w:pPr>
      <w:r>
        <w:rPr>
          <w:sz w:val="22"/>
          <w:szCs w:val="22"/>
        </w:rPr>
        <w:t>All</w:t>
      </w:r>
      <w:r w:rsidR="00CD5634">
        <w:rPr>
          <w:sz w:val="22"/>
          <w:szCs w:val="22"/>
        </w:rPr>
        <w:t xml:space="preserve"> the</w:t>
      </w:r>
      <w:r w:rsidR="00D874FF" w:rsidRPr="00A665DD">
        <w:rPr>
          <w:sz w:val="22"/>
          <w:szCs w:val="22"/>
        </w:rPr>
        <w:t xml:space="preserve"> sections and associated questions </w:t>
      </w:r>
      <w:r w:rsidR="00CD5634">
        <w:rPr>
          <w:sz w:val="22"/>
          <w:szCs w:val="22"/>
        </w:rPr>
        <w:t xml:space="preserve">are expected to </w:t>
      </w:r>
      <w:r w:rsidR="001B75E4" w:rsidRPr="00A665DD">
        <w:rPr>
          <w:sz w:val="22"/>
          <w:szCs w:val="22"/>
        </w:rPr>
        <w:t xml:space="preserve">also </w:t>
      </w:r>
      <w:r w:rsidR="00EF798F" w:rsidRPr="00A665DD">
        <w:rPr>
          <w:sz w:val="22"/>
          <w:szCs w:val="22"/>
        </w:rPr>
        <w:t xml:space="preserve">be of interest to </w:t>
      </w:r>
      <w:r w:rsidR="00CB48A4" w:rsidRPr="00A665DD">
        <w:rPr>
          <w:sz w:val="22"/>
          <w:szCs w:val="22"/>
        </w:rPr>
        <w:t xml:space="preserve">existing </w:t>
      </w:r>
      <w:r w:rsidR="00C574C3">
        <w:rPr>
          <w:sz w:val="22"/>
          <w:szCs w:val="22"/>
        </w:rPr>
        <w:t xml:space="preserve">OTC </w:t>
      </w:r>
      <w:r w:rsidR="00CB48A4" w:rsidRPr="00A665DD">
        <w:rPr>
          <w:sz w:val="22"/>
          <w:szCs w:val="22"/>
        </w:rPr>
        <w:t xml:space="preserve">ISIN clients </w:t>
      </w:r>
      <w:r w:rsidR="00351708" w:rsidRPr="00A665DD">
        <w:rPr>
          <w:sz w:val="22"/>
          <w:szCs w:val="22"/>
        </w:rPr>
        <w:t xml:space="preserve">as </w:t>
      </w:r>
      <w:r w:rsidR="00CD5634">
        <w:rPr>
          <w:sz w:val="22"/>
          <w:szCs w:val="22"/>
        </w:rPr>
        <w:t>a number</w:t>
      </w:r>
      <w:r w:rsidR="00351708" w:rsidRPr="00A665DD">
        <w:rPr>
          <w:sz w:val="22"/>
          <w:szCs w:val="22"/>
        </w:rPr>
        <w:t xml:space="preserve"> of the legal provisions</w:t>
      </w:r>
      <w:r w:rsidR="00B23520" w:rsidRPr="00A665DD">
        <w:rPr>
          <w:sz w:val="22"/>
          <w:szCs w:val="22"/>
        </w:rPr>
        <w:t xml:space="preserve"> and associated mechanisms</w:t>
      </w:r>
      <w:r w:rsidR="00351708" w:rsidRPr="00A665DD">
        <w:rPr>
          <w:sz w:val="22"/>
          <w:szCs w:val="22"/>
        </w:rPr>
        <w:t xml:space="preserve"> </w:t>
      </w:r>
      <w:r w:rsidR="003160A5" w:rsidRPr="00A665DD">
        <w:rPr>
          <w:sz w:val="22"/>
          <w:szCs w:val="22"/>
        </w:rPr>
        <w:t xml:space="preserve">will apply to the OTC </w:t>
      </w:r>
      <w:r w:rsidR="00F07F21">
        <w:rPr>
          <w:sz w:val="22"/>
          <w:szCs w:val="22"/>
        </w:rPr>
        <w:t>ISIN Service</w:t>
      </w:r>
      <w:r w:rsidR="003160A5" w:rsidRPr="00A665DD">
        <w:rPr>
          <w:sz w:val="22"/>
          <w:szCs w:val="22"/>
        </w:rPr>
        <w:t xml:space="preserve"> </w:t>
      </w:r>
      <w:r w:rsidR="0035176F">
        <w:rPr>
          <w:sz w:val="22"/>
          <w:szCs w:val="22"/>
        </w:rPr>
        <w:t xml:space="preserve">given </w:t>
      </w:r>
      <w:r w:rsidR="00197CD7">
        <w:rPr>
          <w:sz w:val="22"/>
          <w:szCs w:val="22"/>
        </w:rPr>
        <w:t>industry feedback for</w:t>
      </w:r>
      <w:r w:rsidR="00A078A4">
        <w:rPr>
          <w:sz w:val="22"/>
          <w:szCs w:val="22"/>
        </w:rPr>
        <w:t xml:space="preserve"> alignment </w:t>
      </w:r>
      <w:r w:rsidR="00197CD7">
        <w:rPr>
          <w:sz w:val="22"/>
          <w:szCs w:val="22"/>
        </w:rPr>
        <w:t xml:space="preserve">across </w:t>
      </w:r>
      <w:r w:rsidR="004B104F">
        <w:rPr>
          <w:sz w:val="22"/>
          <w:szCs w:val="22"/>
        </w:rPr>
        <w:t xml:space="preserve">services as far as </w:t>
      </w:r>
      <w:r w:rsidR="008153E2">
        <w:rPr>
          <w:sz w:val="22"/>
          <w:szCs w:val="22"/>
        </w:rPr>
        <w:t xml:space="preserve">practicable </w:t>
      </w:r>
      <w:r w:rsidR="00B23520" w:rsidRPr="00A665DD">
        <w:rPr>
          <w:sz w:val="22"/>
          <w:szCs w:val="22"/>
        </w:rPr>
        <w:t>or</w:t>
      </w:r>
      <w:r w:rsidR="00197CD7">
        <w:rPr>
          <w:sz w:val="22"/>
          <w:szCs w:val="22"/>
        </w:rPr>
        <w:t>,</w:t>
      </w:r>
      <w:r w:rsidR="00B23520" w:rsidRPr="00A665DD">
        <w:rPr>
          <w:sz w:val="22"/>
          <w:szCs w:val="22"/>
        </w:rPr>
        <w:t xml:space="preserve"> </w:t>
      </w:r>
      <w:r w:rsidR="0074490B" w:rsidRPr="00A665DD">
        <w:rPr>
          <w:sz w:val="22"/>
          <w:szCs w:val="22"/>
        </w:rPr>
        <w:t xml:space="preserve">are expected to be extended to the OTC </w:t>
      </w:r>
      <w:r w:rsidR="00F07F21">
        <w:rPr>
          <w:sz w:val="22"/>
          <w:szCs w:val="22"/>
        </w:rPr>
        <w:t>ISIN Service</w:t>
      </w:r>
      <w:r w:rsidR="0074490B" w:rsidRPr="00A665DD">
        <w:rPr>
          <w:sz w:val="22"/>
          <w:szCs w:val="22"/>
        </w:rPr>
        <w:t xml:space="preserve"> in future.</w:t>
      </w:r>
      <w:r w:rsidR="00307FA5">
        <w:rPr>
          <w:sz w:val="22"/>
          <w:szCs w:val="22"/>
        </w:rPr>
        <w:t xml:space="preserve"> </w:t>
      </w:r>
      <w:r w:rsidR="006815FB">
        <w:rPr>
          <w:sz w:val="22"/>
          <w:szCs w:val="22"/>
        </w:rPr>
        <w:t xml:space="preserve">As such, the DSB </w:t>
      </w:r>
      <w:r w:rsidR="00221234">
        <w:rPr>
          <w:sz w:val="22"/>
          <w:szCs w:val="22"/>
        </w:rPr>
        <w:t>welcome</w:t>
      </w:r>
      <w:r w:rsidR="0067112E">
        <w:rPr>
          <w:sz w:val="22"/>
          <w:szCs w:val="22"/>
        </w:rPr>
        <w:t>s</w:t>
      </w:r>
      <w:r w:rsidR="006815FB">
        <w:rPr>
          <w:sz w:val="22"/>
          <w:szCs w:val="22"/>
        </w:rPr>
        <w:t xml:space="preserve"> feedback on these proposals from the existing OTC ISIN community.</w:t>
      </w:r>
    </w:p>
    <w:p w14:paraId="6108E8C4" w14:textId="1F4C7F15" w:rsidR="0075553D" w:rsidRPr="00A665DD" w:rsidRDefault="0075553D" w:rsidP="0075553D">
      <w:pPr>
        <w:pStyle w:val="ListParagraph"/>
        <w:numPr>
          <w:ilvl w:val="0"/>
          <w:numId w:val="26"/>
        </w:numPr>
        <w:autoSpaceDE/>
        <w:autoSpaceDN/>
        <w:adjustRightInd/>
        <w:spacing w:before="0" w:after="120" w:line="276" w:lineRule="auto"/>
        <w:ind w:left="714" w:right="0" w:hanging="357"/>
        <w:jc w:val="both"/>
        <w:rPr>
          <w:sz w:val="22"/>
          <w:szCs w:val="22"/>
        </w:rPr>
      </w:pPr>
      <w:r w:rsidRPr="00A665DD">
        <w:rPr>
          <w:sz w:val="22"/>
          <w:szCs w:val="22"/>
        </w:rPr>
        <w:t xml:space="preserve">Users of the combined UPI + OTC </w:t>
      </w:r>
      <w:r w:rsidR="00F07F21">
        <w:rPr>
          <w:sz w:val="22"/>
          <w:szCs w:val="22"/>
        </w:rPr>
        <w:t>ISIN Service</w:t>
      </w:r>
      <w:r w:rsidRPr="00A665DD">
        <w:rPr>
          <w:sz w:val="22"/>
          <w:szCs w:val="22"/>
        </w:rPr>
        <w:t xml:space="preserve"> – who will be familiar with the DSB’s existing legal agreement (Access and Usage Agreement and accompanying policies for the OTC </w:t>
      </w:r>
      <w:r w:rsidR="00F07F21">
        <w:rPr>
          <w:sz w:val="22"/>
          <w:szCs w:val="22"/>
        </w:rPr>
        <w:t>ISIN Service</w:t>
      </w:r>
      <w:r w:rsidRPr="00A665DD">
        <w:rPr>
          <w:sz w:val="22"/>
          <w:szCs w:val="22"/>
        </w:rPr>
        <w:t xml:space="preserve">) and may incur some evolution of legal provisions to facilitate access to both services (subject to industry feedback in response to this consultation paper) </w:t>
      </w:r>
    </w:p>
    <w:p w14:paraId="2FF3B2CC" w14:textId="1A0350A7" w:rsidR="001B75E4" w:rsidRPr="00A665DD" w:rsidRDefault="00F51B21" w:rsidP="00A217BD">
      <w:pPr>
        <w:pStyle w:val="ListParagraph"/>
        <w:numPr>
          <w:ilvl w:val="1"/>
          <w:numId w:val="26"/>
        </w:numPr>
        <w:autoSpaceDE/>
        <w:autoSpaceDN/>
        <w:adjustRightInd/>
        <w:spacing w:before="0" w:after="120" w:line="276" w:lineRule="auto"/>
        <w:ind w:right="0"/>
        <w:jc w:val="both"/>
        <w:rPr>
          <w:sz w:val="22"/>
          <w:szCs w:val="22"/>
        </w:rPr>
      </w:pPr>
      <w:r>
        <w:rPr>
          <w:sz w:val="22"/>
          <w:szCs w:val="22"/>
        </w:rPr>
        <w:t>Further</w:t>
      </w:r>
      <w:r w:rsidR="001B75E4" w:rsidRPr="00A665DD">
        <w:rPr>
          <w:sz w:val="22"/>
          <w:szCs w:val="22"/>
        </w:rPr>
        <w:t xml:space="preserve"> to the above points, clients of both the UPI and OTC </w:t>
      </w:r>
      <w:r w:rsidR="00F07F21">
        <w:rPr>
          <w:sz w:val="22"/>
          <w:szCs w:val="22"/>
        </w:rPr>
        <w:t>ISIN Service</w:t>
      </w:r>
      <w:r w:rsidR="001B75E4" w:rsidRPr="00A665DD">
        <w:rPr>
          <w:sz w:val="22"/>
          <w:szCs w:val="22"/>
        </w:rPr>
        <w:t xml:space="preserve"> </w:t>
      </w:r>
      <w:r w:rsidR="0037248C" w:rsidRPr="00A665DD">
        <w:rPr>
          <w:sz w:val="22"/>
          <w:szCs w:val="22"/>
        </w:rPr>
        <w:t xml:space="preserve">will be interested in this </w:t>
      </w:r>
      <w:r w:rsidR="00364E87">
        <w:rPr>
          <w:sz w:val="22"/>
          <w:szCs w:val="22"/>
        </w:rPr>
        <w:t>consultation</w:t>
      </w:r>
      <w:r w:rsidR="0037248C" w:rsidRPr="00A665DD">
        <w:rPr>
          <w:sz w:val="22"/>
          <w:szCs w:val="22"/>
        </w:rPr>
        <w:t xml:space="preserve">. </w:t>
      </w:r>
      <w:r w:rsidR="001F4F56">
        <w:rPr>
          <w:sz w:val="22"/>
          <w:szCs w:val="22"/>
        </w:rPr>
        <w:t>T</w:t>
      </w:r>
      <w:r w:rsidR="0037248C" w:rsidRPr="00A665DD">
        <w:rPr>
          <w:sz w:val="22"/>
          <w:szCs w:val="22"/>
        </w:rPr>
        <w:t>here will be different operational processes for the two services at the point of launching the UPI Service</w:t>
      </w:r>
      <w:r w:rsidR="001F4F56">
        <w:rPr>
          <w:sz w:val="22"/>
          <w:szCs w:val="22"/>
        </w:rPr>
        <w:t>, as</w:t>
      </w:r>
      <w:r w:rsidR="00F233E7">
        <w:rPr>
          <w:sz w:val="22"/>
          <w:szCs w:val="22"/>
        </w:rPr>
        <w:t xml:space="preserve"> further</w:t>
      </w:r>
      <w:r w:rsidR="001F4F56">
        <w:rPr>
          <w:sz w:val="22"/>
          <w:szCs w:val="22"/>
        </w:rPr>
        <w:t xml:space="preserve"> explained in </w:t>
      </w:r>
      <w:r w:rsidR="00F233E7">
        <w:rPr>
          <w:sz w:val="22"/>
          <w:szCs w:val="22"/>
        </w:rPr>
        <w:t xml:space="preserve">this </w:t>
      </w:r>
      <w:r w:rsidR="001E0C68">
        <w:rPr>
          <w:sz w:val="22"/>
          <w:szCs w:val="22"/>
        </w:rPr>
        <w:t>paper</w:t>
      </w:r>
      <w:r w:rsidR="0037248C" w:rsidRPr="00A665DD">
        <w:rPr>
          <w:sz w:val="22"/>
          <w:szCs w:val="22"/>
        </w:rPr>
        <w:t xml:space="preserve">. </w:t>
      </w:r>
      <w:r w:rsidR="00BF76FE">
        <w:rPr>
          <w:sz w:val="22"/>
          <w:szCs w:val="22"/>
        </w:rPr>
        <w:t>T</w:t>
      </w:r>
      <w:r w:rsidR="0037248C" w:rsidRPr="00A665DD">
        <w:rPr>
          <w:sz w:val="22"/>
          <w:szCs w:val="22"/>
        </w:rPr>
        <w:t xml:space="preserve">he DSB </w:t>
      </w:r>
      <w:r w:rsidR="00BF76FE">
        <w:rPr>
          <w:sz w:val="22"/>
          <w:szCs w:val="22"/>
        </w:rPr>
        <w:t xml:space="preserve">will propose </w:t>
      </w:r>
      <w:r w:rsidR="00BA2B7A">
        <w:rPr>
          <w:sz w:val="22"/>
          <w:szCs w:val="22"/>
        </w:rPr>
        <w:t xml:space="preserve">a </w:t>
      </w:r>
      <w:r w:rsidR="00BA2B7A" w:rsidRPr="00A665DD">
        <w:rPr>
          <w:sz w:val="22"/>
          <w:szCs w:val="22"/>
        </w:rPr>
        <w:t>roadmap</w:t>
      </w:r>
      <w:r w:rsidR="0037248C" w:rsidRPr="00A665DD">
        <w:rPr>
          <w:sz w:val="22"/>
          <w:szCs w:val="22"/>
        </w:rPr>
        <w:t xml:space="preserve"> to </w:t>
      </w:r>
      <w:r w:rsidR="001377B8">
        <w:rPr>
          <w:sz w:val="22"/>
          <w:szCs w:val="22"/>
        </w:rPr>
        <w:t xml:space="preserve">potentially </w:t>
      </w:r>
      <w:r w:rsidR="0037248C" w:rsidRPr="00A665DD">
        <w:rPr>
          <w:sz w:val="22"/>
          <w:szCs w:val="22"/>
        </w:rPr>
        <w:t>align the two approaches</w:t>
      </w:r>
      <w:r w:rsidR="00BF76FE">
        <w:rPr>
          <w:sz w:val="22"/>
          <w:szCs w:val="22"/>
        </w:rPr>
        <w:t xml:space="preserve"> </w:t>
      </w:r>
      <w:r w:rsidR="00D6061C">
        <w:rPr>
          <w:sz w:val="22"/>
          <w:szCs w:val="22"/>
        </w:rPr>
        <w:t>at a future point</w:t>
      </w:r>
      <w:r w:rsidR="00A665DD" w:rsidRPr="00A665DD">
        <w:rPr>
          <w:sz w:val="22"/>
          <w:szCs w:val="22"/>
        </w:rPr>
        <w:t>.</w:t>
      </w:r>
    </w:p>
    <w:p w14:paraId="539446D0" w14:textId="08EDE913" w:rsidR="000072A8" w:rsidRDefault="000072A8" w:rsidP="000072A8">
      <w:pPr>
        <w:rPr>
          <w:lang w:val="en-GB"/>
        </w:rPr>
      </w:pPr>
      <w:r>
        <w:rPr>
          <w:lang w:val="en-GB"/>
        </w:rPr>
        <w:t>Please note, references to ‘client(s)’ in this paper are synonymous with the term ‘User(s)’.</w:t>
      </w:r>
    </w:p>
    <w:p w14:paraId="0191C7F2" w14:textId="77777777" w:rsidR="007625FD" w:rsidRPr="0053690D" w:rsidRDefault="007625FD" w:rsidP="007625FD"/>
    <w:bookmarkStart w:id="55" w:name="_Toc60651777"/>
    <w:bookmarkStart w:id="56" w:name="_Toc60651778"/>
    <w:bookmarkStart w:id="57" w:name="_Toc60651779"/>
    <w:bookmarkStart w:id="58" w:name="_Toc60651780"/>
    <w:bookmarkStart w:id="59" w:name="_Toc60651781"/>
    <w:bookmarkStart w:id="60" w:name="_Toc60651782"/>
    <w:bookmarkStart w:id="61" w:name="_Toc60651783"/>
    <w:bookmarkStart w:id="62" w:name="_Toc60651784"/>
    <w:bookmarkStart w:id="63" w:name="_User_Estimates"/>
    <w:bookmarkStart w:id="64" w:name="_Toc83040825"/>
    <w:bookmarkStart w:id="65" w:name="_Toc83051157"/>
    <w:bookmarkStart w:id="66" w:name="_Ref83800491"/>
    <w:bookmarkStart w:id="67" w:name="_Ref83800535"/>
    <w:bookmarkStart w:id="68" w:name="_Ref83839194"/>
    <w:bookmarkStart w:id="69" w:name="_Ref84237555"/>
    <w:bookmarkStart w:id="70" w:name="_Ref84249433"/>
    <w:bookmarkStart w:id="71" w:name="_Ref84249452"/>
    <w:bookmarkStart w:id="72" w:name="_Toc60651795"/>
    <w:bookmarkStart w:id="73" w:name="_Toc69802005"/>
    <w:bookmarkStart w:id="74" w:name="_Toc86680474"/>
    <w:bookmarkEnd w:id="29"/>
    <w:bookmarkEnd w:id="30"/>
    <w:bookmarkEnd w:id="55"/>
    <w:bookmarkEnd w:id="56"/>
    <w:bookmarkEnd w:id="57"/>
    <w:bookmarkEnd w:id="58"/>
    <w:bookmarkEnd w:id="59"/>
    <w:bookmarkEnd w:id="60"/>
    <w:bookmarkEnd w:id="61"/>
    <w:bookmarkEnd w:id="62"/>
    <w:bookmarkEnd w:id="63"/>
    <w:bookmarkEnd w:id="64"/>
    <w:bookmarkEnd w:id="65"/>
    <w:p w14:paraId="50B03893" w14:textId="77777777" w:rsidR="007625FD" w:rsidRPr="003465C7" w:rsidRDefault="007625FD" w:rsidP="007625FD">
      <w:pPr>
        <w:pStyle w:val="Heading2"/>
        <w:spacing w:before="0" w:line="276" w:lineRule="auto"/>
      </w:pPr>
      <w:r>
        <w:rPr>
          <w:noProof/>
          <w:lang w:eastAsia="en-GB"/>
        </w:rPr>
        <w:lastRenderedPageBreak/>
        <mc:AlternateContent>
          <mc:Choice Requires="wps">
            <w:drawing>
              <wp:anchor distT="45720" distB="45720" distL="114300" distR="114300" simplePos="0" relativeHeight="251658249" behindDoc="0" locked="0" layoutInCell="1" allowOverlap="1" wp14:anchorId="0029E7FE" wp14:editId="62B5BB2F">
                <wp:simplePos x="0" y="0"/>
                <wp:positionH relativeFrom="margin">
                  <wp:posOffset>38735</wp:posOffset>
                </wp:positionH>
                <wp:positionV relativeFrom="paragraph">
                  <wp:posOffset>339178</wp:posOffset>
                </wp:positionV>
                <wp:extent cx="5716905" cy="1404620"/>
                <wp:effectExtent l="0" t="0" r="17145"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rgbClr val="FFFFFF"/>
                        </a:solidFill>
                        <a:ln w="9525">
                          <a:solidFill>
                            <a:srgbClr val="04AEB9"/>
                          </a:solidFill>
                          <a:miter lim="800000"/>
                          <a:headEnd/>
                          <a:tailEnd/>
                        </a:ln>
                      </wps:spPr>
                      <wps:txbx>
                        <w:txbxContent>
                          <w:p w14:paraId="65AA966A"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5C593CBE" w14:textId="318D3244" w:rsidR="007625FD" w:rsidRDefault="007625FD" w:rsidP="00505DEC">
                            <w:pPr>
                              <w:jc w:val="both"/>
                            </w:pPr>
                            <w:r>
                              <w:rPr>
                                <w:lang w:val="en-GB"/>
                              </w:rPr>
                              <w:t xml:space="preserve">Given the G20 mandate for the introduction of a UPI, it is expected that there will be global demand for the </w:t>
                            </w:r>
                            <w:r w:rsidR="00F07F21">
                              <w:rPr>
                                <w:lang w:val="en-GB"/>
                              </w:rPr>
                              <w:t>UPI Service</w:t>
                            </w:r>
                            <w:r>
                              <w:rPr>
                                <w:lang w:val="en-GB"/>
                              </w:rPr>
                              <w:t>, the DSB is therefore in the process of implementing a scalable online</w:t>
                            </w:r>
                            <w:r w:rsidRPr="00375850">
                              <w:rPr>
                                <w:lang w:val="en-GB"/>
                              </w:rPr>
                              <w:t xml:space="preserve"> </w:t>
                            </w:r>
                            <w:r>
                              <w:rPr>
                                <w:lang w:val="en-GB"/>
                              </w:rPr>
                              <w:t>platform</w:t>
                            </w:r>
                            <w:r w:rsidRPr="00375850">
                              <w:rPr>
                                <w:lang w:val="en-GB"/>
                              </w:rPr>
                              <w:t xml:space="preserve"> to allow </w:t>
                            </w:r>
                            <w:r>
                              <w:rPr>
                                <w:lang w:val="en-GB"/>
                              </w:rPr>
                              <w:t xml:space="preserve">fee-paying </w:t>
                            </w:r>
                            <w:r w:rsidRPr="00375850">
                              <w:rPr>
                                <w:lang w:val="en-GB"/>
                              </w:rPr>
                              <w:t xml:space="preserve">UPI </w:t>
                            </w:r>
                            <w:r>
                              <w:rPr>
                                <w:lang w:val="en-GB"/>
                              </w:rPr>
                              <w:t>Users</w:t>
                            </w:r>
                            <w:r w:rsidRPr="00375850">
                              <w:rPr>
                                <w:lang w:val="en-GB"/>
                              </w:rPr>
                              <w:t xml:space="preserve"> to </w:t>
                            </w:r>
                            <w:r>
                              <w:rPr>
                                <w:lang w:val="en-GB"/>
                              </w:rPr>
                              <w:t xml:space="preserve">perform the administrative steps to </w:t>
                            </w:r>
                            <w:r w:rsidRPr="00375850">
                              <w:rPr>
                                <w:lang w:val="en-GB"/>
                              </w:rPr>
                              <w:t xml:space="preserve">onboard </w:t>
                            </w:r>
                            <w:r>
                              <w:rPr>
                                <w:lang w:val="en-GB"/>
                              </w:rPr>
                              <w:t xml:space="preserve">to the service, </w:t>
                            </w:r>
                            <w:r w:rsidRPr="00375850">
                              <w:rPr>
                                <w:lang w:val="en-GB"/>
                              </w:rPr>
                              <w:t xml:space="preserve">and </w:t>
                            </w:r>
                            <w:r>
                              <w:rPr>
                                <w:lang w:val="en-GB"/>
                              </w:rPr>
                              <w:t>then perform ‘in-life management’</w:t>
                            </w:r>
                            <w:r w:rsidRPr="00375850">
                              <w:rPr>
                                <w:lang w:val="en-GB"/>
                              </w:rPr>
                              <w:t xml:space="preserve"> </w:t>
                            </w:r>
                            <w:r>
                              <w:rPr>
                                <w:lang w:val="en-GB"/>
                              </w:rPr>
                              <w:t xml:space="preserve">processes (e.g. upgrade/downgrade, terminations, renewals, the addition of new users within their organization, etc). The online system is referred to as the </w:t>
                            </w:r>
                            <w:r>
                              <w:t>Client Onboarding and Support Platform (COSP).</w:t>
                            </w:r>
                          </w:p>
                          <w:p w14:paraId="667C35DD" w14:textId="77777777" w:rsidR="007625FD" w:rsidRPr="00375850" w:rsidRDefault="007625FD" w:rsidP="00505DEC">
                            <w:pPr>
                              <w:jc w:val="both"/>
                              <w:rPr>
                                <w:lang w:val="en-GB"/>
                              </w:rPr>
                            </w:pPr>
                            <w:r>
                              <w:rPr>
                                <w:lang w:val="en-GB"/>
                              </w:rPr>
                              <w:t>When the COSP and UPI Service are launched, new and existing Users of the OTC ISIN Service</w:t>
                            </w:r>
                            <w:r w:rsidRPr="00375850">
                              <w:rPr>
                                <w:lang w:val="en-GB"/>
                              </w:rPr>
                              <w:t xml:space="preserve"> will continue to use the existing </w:t>
                            </w:r>
                            <w:r>
                              <w:rPr>
                                <w:lang w:val="en-GB"/>
                              </w:rPr>
                              <w:t xml:space="preserve">manual </w:t>
                            </w:r>
                            <w:r w:rsidRPr="00375850">
                              <w:rPr>
                                <w:lang w:val="en-GB"/>
                              </w:rPr>
                              <w:t>OTC ISIN processes</w:t>
                            </w:r>
                            <w:r>
                              <w:rPr>
                                <w:lang w:val="en-GB"/>
                              </w:rPr>
                              <w:t xml:space="preserve"> to onboard and manage their relationship with the DSB. The COSP will initially only be available to UPI Service Users. </w:t>
                            </w:r>
                          </w:p>
                          <w:p w14:paraId="45DDDC5D" w14:textId="6C2CD561" w:rsidR="00A67E86" w:rsidRDefault="004254BA" w:rsidP="00505DEC">
                            <w:pPr>
                              <w:jc w:val="both"/>
                              <w:rPr>
                                <w:lang w:val="en-GB"/>
                              </w:rPr>
                            </w:pPr>
                            <w:r>
                              <w:rPr>
                                <w:lang w:val="en-GB"/>
                              </w:rPr>
                              <w:t xml:space="preserve">A roadmap to roll-out the COSP to OTC ISIN Users </w:t>
                            </w:r>
                            <w:r w:rsidR="00A67E86">
                              <w:rPr>
                                <w:lang w:val="en-GB"/>
                              </w:rPr>
                              <w:t xml:space="preserve">will be subject to further analysis and </w:t>
                            </w:r>
                            <w:r w:rsidR="00EB643D">
                              <w:rPr>
                                <w:lang w:val="en-GB"/>
                              </w:rPr>
                              <w:t>stakeholder engagement</w:t>
                            </w:r>
                            <w:r w:rsidR="00A67E86">
                              <w:rPr>
                                <w:lang w:val="en-GB"/>
                              </w:rPr>
                              <w:t>.</w:t>
                            </w:r>
                          </w:p>
                          <w:p w14:paraId="0665EDD5" w14:textId="77777777" w:rsidR="007625FD" w:rsidRDefault="007625FD" w:rsidP="007625FD">
                            <w:pPr>
                              <w:rPr>
                                <w:rStyle w:val="normaltextrun"/>
                                <w:rFonts w:cstheme="minorHAnsi"/>
                                <w:b/>
                                <w:i/>
                                <w:color w:val="000000"/>
                              </w:rPr>
                            </w:pPr>
                            <w:r w:rsidRPr="0076032B">
                              <w:rPr>
                                <w:rStyle w:val="normaltextrun"/>
                                <w:rFonts w:cstheme="minorHAnsi"/>
                                <w:b/>
                                <w:bCs/>
                                <w:color w:val="000000"/>
                              </w:rPr>
                              <w:t>Question</w:t>
                            </w:r>
                            <w:r>
                              <w:rPr>
                                <w:rStyle w:val="normaltextrun"/>
                                <w:rFonts w:cstheme="minorHAnsi"/>
                                <w:b/>
                                <w:bCs/>
                                <w:color w:val="000000"/>
                              </w:rPr>
                              <w:t xml:space="preserve"> </w:t>
                            </w:r>
                            <w:r>
                              <w:rPr>
                                <w:rStyle w:val="normaltextrun"/>
                                <w:rFonts w:cstheme="minorHAnsi"/>
                                <w:b/>
                                <w:color w:val="000000"/>
                              </w:rPr>
                              <w:t>1a</w:t>
                            </w:r>
                            <w:r w:rsidRPr="0076032B">
                              <w:rPr>
                                <w:rStyle w:val="normaltextrun"/>
                                <w:rFonts w:cstheme="minorHAnsi"/>
                                <w:b/>
                                <w:bCs/>
                                <w:color w:val="000000"/>
                              </w:rPr>
                              <w:t xml:space="preserve">: </w:t>
                            </w:r>
                            <w:r>
                              <w:rPr>
                                <w:rStyle w:val="normaltextrun"/>
                                <w:rFonts w:cstheme="minorHAnsi"/>
                                <w:b/>
                                <w:i/>
                                <w:color w:val="000000"/>
                              </w:rPr>
                              <w:t>Do you concur with the DSB’s proposed approach to move the onboarding and in-life management processes to an online platform for the UPI Service?</w:t>
                            </w:r>
                          </w:p>
                          <w:p w14:paraId="0F61AC2B" w14:textId="77777777" w:rsidR="007625FD" w:rsidRPr="00E63BBE" w:rsidRDefault="007625FD" w:rsidP="007625FD">
                            <w:pPr>
                              <w:rPr>
                                <w:rStyle w:val="normaltextrun"/>
                                <w:rFonts w:cstheme="minorHAnsi"/>
                                <w:b/>
                                <w:i/>
                                <w:color w:val="000000"/>
                              </w:rPr>
                            </w:pPr>
                            <w:r w:rsidRPr="0076032B">
                              <w:rPr>
                                <w:rStyle w:val="normaltextrun"/>
                                <w:rFonts w:cstheme="minorHAnsi"/>
                                <w:b/>
                                <w:bCs/>
                                <w:color w:val="000000"/>
                              </w:rPr>
                              <w:t>Question</w:t>
                            </w:r>
                            <w:r>
                              <w:rPr>
                                <w:rStyle w:val="normaltextrun"/>
                                <w:rFonts w:cstheme="minorHAnsi"/>
                                <w:b/>
                                <w:bCs/>
                                <w:color w:val="000000"/>
                              </w:rPr>
                              <w:t xml:space="preserve"> </w:t>
                            </w:r>
                            <w:r>
                              <w:rPr>
                                <w:rStyle w:val="normaltextrun"/>
                                <w:rFonts w:cstheme="minorHAnsi"/>
                                <w:b/>
                                <w:color w:val="000000"/>
                              </w:rPr>
                              <w:t xml:space="preserve">1b: </w:t>
                            </w:r>
                            <w:r w:rsidRPr="00F852E0">
                              <w:rPr>
                                <w:rStyle w:val="normaltextrun"/>
                                <w:rFonts w:cstheme="minorHAnsi"/>
                                <w:b/>
                                <w:i/>
                                <w:iCs/>
                                <w:color w:val="000000"/>
                              </w:rPr>
                              <w:t>I</w:t>
                            </w:r>
                            <w:r w:rsidRPr="000B0101">
                              <w:rPr>
                                <w:rStyle w:val="normaltextrun"/>
                                <w:rFonts w:cstheme="minorHAnsi"/>
                                <w:b/>
                                <w:i/>
                                <w:color w:val="000000"/>
                              </w:rPr>
                              <w:t>f not, what specific alternate approach do you recommend? Please provide a clear and objective rationale for each alternate approach you recommend.</w:t>
                            </w:r>
                            <w:r w:rsidRPr="000B0101">
                              <w:rPr>
                                <w:rStyle w:val="normaltextrun"/>
                                <w:rFonts w:cstheme="minorHAnsi"/>
                                <w:b/>
                                <w:color w:val="00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029E7FE" id="_x0000_t202" coordsize="21600,21600" o:spt="202" path="m,l,21600r21600,l21600,xe">
                <v:stroke joinstyle="miter"/>
                <v:path gradientshapeok="t" o:connecttype="rect"/>
              </v:shapetype>
              <v:shape id="Text Box 2" o:spid="_x0000_s1026" type="#_x0000_t202" style="position:absolute;left:0;text-align:left;margin-left:3.05pt;margin-top:26.7pt;width:450.15pt;height:110.6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" strokecolor="#04aeb9">
                <v:textbox style="mso-fit-shape-to-text:t">
                  <w:txbxContent>
                    <w:p w14:paraId="65AA966A"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5C593CBE" w14:textId="318D3244" w:rsidR="007625FD" w:rsidRDefault="007625FD" w:rsidP="00505DEC">
                      <w:pPr>
                        <w:jc w:val="both"/>
                      </w:pPr>
                      <w:r>
                        <w:rPr>
                          <w:lang w:val="en-GB"/>
                        </w:rPr>
                        <w:t xml:space="preserve">Given the G20 mandate for the introduction of a UPI, it is expected that there will be global demand for the </w:t>
                      </w:r>
                      <w:r w:rsidR="00F07F21">
                        <w:rPr>
                          <w:lang w:val="en-GB"/>
                        </w:rPr>
                        <w:t>UPI Service</w:t>
                      </w:r>
                      <w:r>
                        <w:rPr>
                          <w:lang w:val="en-GB"/>
                        </w:rPr>
                        <w:t>, the DSB is therefore in the process of implementing a scalable online</w:t>
                      </w:r>
                      <w:r w:rsidRPr="00375850">
                        <w:rPr>
                          <w:lang w:val="en-GB"/>
                        </w:rPr>
                        <w:t xml:space="preserve"> </w:t>
                      </w:r>
                      <w:r>
                        <w:rPr>
                          <w:lang w:val="en-GB"/>
                        </w:rPr>
                        <w:t>platform</w:t>
                      </w:r>
                      <w:r w:rsidRPr="00375850">
                        <w:rPr>
                          <w:lang w:val="en-GB"/>
                        </w:rPr>
                        <w:t xml:space="preserve"> to allow </w:t>
                      </w:r>
                      <w:r>
                        <w:rPr>
                          <w:lang w:val="en-GB"/>
                        </w:rPr>
                        <w:t xml:space="preserve">fee-paying </w:t>
                      </w:r>
                      <w:r w:rsidRPr="00375850">
                        <w:rPr>
                          <w:lang w:val="en-GB"/>
                        </w:rPr>
                        <w:t xml:space="preserve">UPI </w:t>
                      </w:r>
                      <w:r>
                        <w:rPr>
                          <w:lang w:val="en-GB"/>
                        </w:rPr>
                        <w:t>Users</w:t>
                      </w:r>
                      <w:r w:rsidRPr="00375850">
                        <w:rPr>
                          <w:lang w:val="en-GB"/>
                        </w:rPr>
                        <w:t xml:space="preserve"> to </w:t>
                      </w:r>
                      <w:r>
                        <w:rPr>
                          <w:lang w:val="en-GB"/>
                        </w:rPr>
                        <w:t xml:space="preserve">perform the administrative steps to </w:t>
                      </w:r>
                      <w:r w:rsidRPr="00375850">
                        <w:rPr>
                          <w:lang w:val="en-GB"/>
                        </w:rPr>
                        <w:t xml:space="preserve">onboard </w:t>
                      </w:r>
                      <w:r>
                        <w:rPr>
                          <w:lang w:val="en-GB"/>
                        </w:rPr>
                        <w:t xml:space="preserve">to the service, </w:t>
                      </w:r>
                      <w:r w:rsidRPr="00375850">
                        <w:rPr>
                          <w:lang w:val="en-GB"/>
                        </w:rPr>
                        <w:t xml:space="preserve">and </w:t>
                      </w:r>
                      <w:r>
                        <w:rPr>
                          <w:lang w:val="en-GB"/>
                        </w:rPr>
                        <w:t>then perform ‘in-life management’</w:t>
                      </w:r>
                      <w:r w:rsidRPr="00375850">
                        <w:rPr>
                          <w:lang w:val="en-GB"/>
                        </w:rPr>
                        <w:t xml:space="preserve"> </w:t>
                      </w:r>
                      <w:r>
                        <w:rPr>
                          <w:lang w:val="en-GB"/>
                        </w:rPr>
                        <w:t xml:space="preserve">processes (e.g. upgrade/downgrade, terminations, renewals, the addition of new users within their organization, etc). The online system is referred to as the </w:t>
                      </w:r>
                      <w:r>
                        <w:t>Client Onboarding and Support Platform (COSP).</w:t>
                      </w:r>
                    </w:p>
                    <w:p w14:paraId="667C35DD" w14:textId="77777777" w:rsidR="007625FD" w:rsidRPr="00375850" w:rsidRDefault="007625FD" w:rsidP="00505DEC">
                      <w:pPr>
                        <w:jc w:val="both"/>
                        <w:rPr>
                          <w:lang w:val="en-GB"/>
                        </w:rPr>
                      </w:pPr>
                      <w:r>
                        <w:rPr>
                          <w:lang w:val="en-GB"/>
                        </w:rPr>
                        <w:t>When the COSP and UPI Service are launched, new and existing Users of the OTC ISIN Service</w:t>
                      </w:r>
                      <w:r w:rsidRPr="00375850">
                        <w:rPr>
                          <w:lang w:val="en-GB"/>
                        </w:rPr>
                        <w:t xml:space="preserve"> will continue to use the existing </w:t>
                      </w:r>
                      <w:r>
                        <w:rPr>
                          <w:lang w:val="en-GB"/>
                        </w:rPr>
                        <w:t xml:space="preserve">manual </w:t>
                      </w:r>
                      <w:r w:rsidRPr="00375850">
                        <w:rPr>
                          <w:lang w:val="en-GB"/>
                        </w:rPr>
                        <w:t>OTC ISIN processes</w:t>
                      </w:r>
                      <w:r>
                        <w:rPr>
                          <w:lang w:val="en-GB"/>
                        </w:rPr>
                        <w:t xml:space="preserve"> to onboard and manage their relationship with the DSB. The COSP will initially only be available to UPI Service Users. </w:t>
                      </w:r>
                    </w:p>
                    <w:p w14:paraId="45DDDC5D" w14:textId="6C2CD561" w:rsidR="00A67E86" w:rsidRDefault="004254BA" w:rsidP="00505DEC">
                      <w:pPr>
                        <w:jc w:val="both"/>
                        <w:rPr>
                          <w:lang w:val="en-GB"/>
                        </w:rPr>
                      </w:pPr>
                      <w:r>
                        <w:rPr>
                          <w:lang w:val="en-GB"/>
                        </w:rPr>
                        <w:t xml:space="preserve">A roadmap to roll-out the COSP to OTC ISIN Users </w:t>
                      </w:r>
                      <w:r w:rsidR="00A67E86">
                        <w:rPr>
                          <w:lang w:val="en-GB"/>
                        </w:rPr>
                        <w:t xml:space="preserve">will be subject to further analysis and </w:t>
                      </w:r>
                      <w:r w:rsidR="00EB643D">
                        <w:rPr>
                          <w:lang w:val="en-GB"/>
                        </w:rPr>
                        <w:t>stakeholder engagement</w:t>
                      </w:r>
                      <w:r w:rsidR="00A67E86">
                        <w:rPr>
                          <w:lang w:val="en-GB"/>
                        </w:rPr>
                        <w:t>.</w:t>
                      </w:r>
                    </w:p>
                    <w:p w14:paraId="0665EDD5" w14:textId="77777777" w:rsidR="007625FD" w:rsidRDefault="007625FD" w:rsidP="007625FD">
                      <w:pPr>
                        <w:rPr>
                          <w:rStyle w:val="normaltextrun"/>
                          <w:rFonts w:cstheme="minorHAnsi"/>
                          <w:b/>
                          <w:i/>
                          <w:color w:val="000000"/>
                        </w:rPr>
                      </w:pPr>
                      <w:r w:rsidRPr="0076032B">
                        <w:rPr>
                          <w:rStyle w:val="normaltextrun"/>
                          <w:rFonts w:cstheme="minorHAnsi"/>
                          <w:b/>
                          <w:bCs/>
                          <w:color w:val="000000"/>
                        </w:rPr>
                        <w:t>Question</w:t>
                      </w:r>
                      <w:r>
                        <w:rPr>
                          <w:rStyle w:val="normaltextrun"/>
                          <w:rFonts w:cstheme="minorHAnsi"/>
                          <w:b/>
                          <w:bCs/>
                          <w:color w:val="000000"/>
                        </w:rPr>
                        <w:t xml:space="preserve"> </w:t>
                      </w:r>
                      <w:r>
                        <w:rPr>
                          <w:rStyle w:val="normaltextrun"/>
                          <w:rFonts w:cstheme="minorHAnsi"/>
                          <w:b/>
                          <w:color w:val="000000"/>
                        </w:rPr>
                        <w:t>1a</w:t>
                      </w:r>
                      <w:r w:rsidRPr="0076032B">
                        <w:rPr>
                          <w:rStyle w:val="normaltextrun"/>
                          <w:rFonts w:cstheme="minorHAnsi"/>
                          <w:b/>
                          <w:bCs/>
                          <w:color w:val="000000"/>
                        </w:rPr>
                        <w:t xml:space="preserve">: </w:t>
                      </w:r>
                      <w:r>
                        <w:rPr>
                          <w:rStyle w:val="normaltextrun"/>
                          <w:rFonts w:cstheme="minorHAnsi"/>
                          <w:b/>
                          <w:i/>
                          <w:color w:val="000000"/>
                        </w:rPr>
                        <w:t>Do you concur with the DSB’s proposed approach to move the onboarding and in-life management processes to an online platform for the UPI Service?</w:t>
                      </w:r>
                    </w:p>
                    <w:p w14:paraId="0F61AC2B" w14:textId="77777777" w:rsidR="007625FD" w:rsidRPr="00E63BBE" w:rsidRDefault="007625FD" w:rsidP="007625FD">
                      <w:pPr>
                        <w:rPr>
                          <w:rStyle w:val="normaltextrun"/>
                          <w:rFonts w:cstheme="minorHAnsi"/>
                          <w:b/>
                          <w:i/>
                          <w:color w:val="000000"/>
                        </w:rPr>
                      </w:pPr>
                      <w:r w:rsidRPr="0076032B">
                        <w:rPr>
                          <w:rStyle w:val="normaltextrun"/>
                          <w:rFonts w:cstheme="minorHAnsi"/>
                          <w:b/>
                          <w:bCs/>
                          <w:color w:val="000000"/>
                        </w:rPr>
                        <w:t>Question</w:t>
                      </w:r>
                      <w:r>
                        <w:rPr>
                          <w:rStyle w:val="normaltextrun"/>
                          <w:rFonts w:cstheme="minorHAnsi"/>
                          <w:b/>
                          <w:bCs/>
                          <w:color w:val="000000"/>
                        </w:rPr>
                        <w:t xml:space="preserve"> </w:t>
                      </w:r>
                      <w:r>
                        <w:rPr>
                          <w:rStyle w:val="normaltextrun"/>
                          <w:rFonts w:cstheme="minorHAnsi"/>
                          <w:b/>
                          <w:color w:val="000000"/>
                        </w:rPr>
                        <w:t xml:space="preserve">1b: </w:t>
                      </w:r>
                      <w:r w:rsidRPr="00F852E0">
                        <w:rPr>
                          <w:rStyle w:val="normaltextrun"/>
                          <w:rFonts w:cstheme="minorHAnsi"/>
                          <w:b/>
                          <w:i/>
                          <w:iCs/>
                          <w:color w:val="000000"/>
                        </w:rPr>
                        <w:t>I</w:t>
                      </w:r>
                      <w:r w:rsidRPr="000B0101">
                        <w:rPr>
                          <w:rStyle w:val="normaltextrun"/>
                          <w:rFonts w:cstheme="minorHAnsi"/>
                          <w:b/>
                          <w:i/>
                          <w:color w:val="000000"/>
                        </w:rPr>
                        <w:t>f not, what specific alternate approach do you recommend? Please provide a clear and objective rationale for each alternate approach you recommend.</w:t>
                      </w:r>
                      <w:r w:rsidRPr="000B0101">
                        <w:rPr>
                          <w:rStyle w:val="normaltextrun"/>
                          <w:rFonts w:cstheme="minorHAnsi"/>
                          <w:b/>
                          <w:color w:val="000000"/>
                        </w:rPr>
                        <w:t xml:space="preserve"> </w:t>
                      </w:r>
                    </w:p>
                  </w:txbxContent>
                </v:textbox>
                <w10:wrap type="square" anchorx="margin"/>
              </v:shape>
            </w:pict>
          </mc:Fallback>
        </mc:AlternateContent>
      </w:r>
      <w:r w:rsidRPr="0053690D">
        <w:t>Q</w:t>
      </w:r>
      <w:r>
        <w:t>1</w:t>
      </w:r>
      <w:r w:rsidRPr="0053690D">
        <w:t xml:space="preserve"> </w:t>
      </w:r>
      <w:r>
        <w:t>–</w:t>
      </w:r>
      <w:r w:rsidRPr="0053690D">
        <w:t xml:space="preserve"> </w:t>
      </w:r>
      <w:r w:rsidRPr="003465C7">
        <w:t xml:space="preserve">Client </w:t>
      </w:r>
      <w:r>
        <w:t>Onboarding</w:t>
      </w:r>
      <w:r w:rsidRPr="003465C7">
        <w:t xml:space="preserve"> and Support Platform (</w:t>
      </w:r>
      <w:r>
        <w:t>COSP</w:t>
      </w:r>
      <w:r w:rsidRPr="003465C7">
        <w:t>)</w:t>
      </w:r>
      <w:bookmarkEnd w:id="66"/>
      <w:bookmarkEnd w:id="67"/>
      <w:bookmarkEnd w:id="68"/>
      <w:bookmarkEnd w:id="69"/>
      <w:bookmarkEnd w:id="70"/>
      <w:bookmarkEnd w:id="71"/>
      <w:bookmarkEnd w:id="74"/>
    </w:p>
    <w:p w14:paraId="137738F2" w14:textId="77777777" w:rsidR="007625FD" w:rsidRPr="001C2710" w:rsidRDefault="007625FD" w:rsidP="007625FD">
      <w:pPr>
        <w:rPr>
          <w:lang w:val="en-GB"/>
        </w:rPr>
      </w:pPr>
    </w:p>
    <w:p w14:paraId="5FD05D2D" w14:textId="77777777" w:rsidR="007625FD" w:rsidRPr="00623841" w:rsidRDefault="007625FD" w:rsidP="007625FD">
      <w:pPr>
        <w:jc w:val="both"/>
        <w:rPr>
          <w:b/>
          <w:bCs/>
          <w:u w:val="single"/>
        </w:rPr>
      </w:pPr>
      <w:r w:rsidRPr="00623841">
        <w:rPr>
          <w:b/>
          <w:bCs/>
          <w:u w:val="single"/>
        </w:rPr>
        <w:t>Supporting Information:</w:t>
      </w:r>
    </w:p>
    <w:p w14:paraId="57936934" w14:textId="77777777" w:rsidR="007625FD" w:rsidRPr="00CF021F" w:rsidRDefault="007625FD" w:rsidP="007625FD">
      <w:pPr>
        <w:spacing w:before="120"/>
        <w:jc w:val="both"/>
      </w:pPr>
      <w:r>
        <w:t xml:space="preserve">As stated in the </w:t>
      </w:r>
      <w:hyperlink r:id="rId31" w:history="1">
        <w:r w:rsidRPr="00B66CEA">
          <w:rPr>
            <w:rStyle w:val="Hyperlink"/>
          </w:rPr>
          <w:t>UPI Fee Model</w:t>
        </w:r>
        <w:r>
          <w:rPr>
            <w:rStyle w:val="Hyperlink"/>
          </w:rPr>
          <w:t xml:space="preserve"> Consultation</w:t>
        </w:r>
        <w:r w:rsidRPr="00B66CEA">
          <w:rPr>
            <w:rStyle w:val="Hyperlink"/>
          </w:rPr>
          <w:t xml:space="preserve"> Final Report</w:t>
        </w:r>
      </w:hyperlink>
      <w:r>
        <w:t>, compared to</w:t>
      </w:r>
      <w:r w:rsidRPr="009F5C43">
        <w:t xml:space="preserve"> the DSB’s current EU and UK focused service offering</w:t>
      </w:r>
      <w:r>
        <w:t xml:space="preserve"> for OTC ISIN</w:t>
      </w:r>
      <w:r w:rsidRPr="009F5C43">
        <w:t xml:space="preserve">, </w:t>
      </w:r>
      <w:r>
        <w:t xml:space="preserve">the DSB expects to </w:t>
      </w:r>
      <w:r w:rsidRPr="009F5C43">
        <w:t xml:space="preserve">onboard a significant number of </w:t>
      </w:r>
      <w:r w:rsidRPr="00DC6784">
        <w:t xml:space="preserve">new </w:t>
      </w:r>
      <w:r>
        <w:t>User</w:t>
      </w:r>
      <w:r w:rsidRPr="00DC6784">
        <w:t xml:space="preserve">s to accommodate the </w:t>
      </w:r>
      <w:r>
        <w:t>introduction of the global UPI Service. The UPI Fee Model Consultation Final Report, outlines t</w:t>
      </w:r>
      <w:r>
        <w:rPr>
          <w:rStyle w:val="normaltextrun"/>
          <w:rFonts w:cstheme="minorHAnsi"/>
          <w:bCs/>
          <w:color w:val="000000"/>
        </w:rPr>
        <w:t>he anticipated number of organizations currently expected to use the DSB’s UPI Service is as follows:</w:t>
      </w:r>
    </w:p>
    <w:p w14:paraId="4D37D245" w14:textId="77777777" w:rsidR="007625FD" w:rsidRPr="00CF021F" w:rsidRDefault="007625FD" w:rsidP="007625FD">
      <w:pPr>
        <w:pStyle w:val="ListParagraph"/>
        <w:numPr>
          <w:ilvl w:val="0"/>
          <w:numId w:val="4"/>
        </w:numPr>
        <w:autoSpaceDE/>
        <w:autoSpaceDN/>
        <w:adjustRightInd/>
        <w:spacing w:before="0" w:after="160" w:line="276" w:lineRule="auto"/>
        <w:ind w:right="0"/>
        <w:contextualSpacing/>
        <w:jc w:val="both"/>
        <w:rPr>
          <w:sz w:val="22"/>
          <w:szCs w:val="22"/>
        </w:rPr>
      </w:pPr>
      <w:r w:rsidRPr="00CF021F">
        <w:rPr>
          <w:rStyle w:val="normaltextrun"/>
          <w:rFonts w:cstheme="minorHAnsi"/>
          <w:bCs/>
          <w:color w:val="000000"/>
          <w:sz w:val="22"/>
          <w:szCs w:val="22"/>
        </w:rPr>
        <w:t xml:space="preserve">Approximately </w:t>
      </w:r>
      <w:r w:rsidRPr="00CF021F">
        <w:rPr>
          <w:sz w:val="22"/>
          <w:szCs w:val="22"/>
        </w:rPr>
        <w:t xml:space="preserve">500 organizations representing approximately 3.5k legal entities will pay to connect programmatically to create and/or search for UPI records </w:t>
      </w:r>
    </w:p>
    <w:p w14:paraId="718A8DDC" w14:textId="77777777" w:rsidR="007625FD" w:rsidRPr="00CF021F" w:rsidRDefault="007625FD" w:rsidP="007625FD">
      <w:pPr>
        <w:pStyle w:val="ListParagraph"/>
        <w:numPr>
          <w:ilvl w:val="0"/>
          <w:numId w:val="4"/>
        </w:numPr>
        <w:autoSpaceDE/>
        <w:autoSpaceDN/>
        <w:adjustRightInd/>
        <w:spacing w:before="0" w:after="160" w:line="276" w:lineRule="auto"/>
        <w:ind w:right="0"/>
        <w:contextualSpacing/>
        <w:jc w:val="both"/>
        <w:rPr>
          <w:sz w:val="22"/>
          <w:szCs w:val="22"/>
        </w:rPr>
      </w:pPr>
      <w:r w:rsidRPr="00CF021F">
        <w:rPr>
          <w:rStyle w:val="normaltextrun"/>
          <w:rFonts w:cstheme="minorHAnsi"/>
          <w:bCs/>
          <w:color w:val="000000"/>
          <w:sz w:val="22"/>
          <w:szCs w:val="22"/>
        </w:rPr>
        <w:t xml:space="preserve">Approximately </w:t>
      </w:r>
      <w:r w:rsidRPr="00CF021F">
        <w:rPr>
          <w:sz w:val="22"/>
          <w:szCs w:val="22"/>
        </w:rPr>
        <w:t xml:space="preserve">2,500 organizations representing approximately 16k legal entities will pay to connect manually to create UPI records </w:t>
      </w:r>
    </w:p>
    <w:p w14:paraId="6B71273B" w14:textId="77777777" w:rsidR="007625FD" w:rsidRPr="00CF021F" w:rsidRDefault="007625FD" w:rsidP="007625FD">
      <w:pPr>
        <w:pStyle w:val="ListParagraph"/>
        <w:numPr>
          <w:ilvl w:val="0"/>
          <w:numId w:val="4"/>
        </w:numPr>
        <w:autoSpaceDE/>
        <w:autoSpaceDN/>
        <w:adjustRightInd/>
        <w:spacing w:before="0" w:after="200" w:line="276" w:lineRule="auto"/>
        <w:ind w:left="714" w:right="0" w:hanging="357"/>
        <w:jc w:val="both"/>
        <w:rPr>
          <w:sz w:val="22"/>
          <w:szCs w:val="22"/>
        </w:rPr>
      </w:pPr>
      <w:r w:rsidRPr="00CF021F">
        <w:rPr>
          <w:rStyle w:val="normaltextrun"/>
          <w:rFonts w:cstheme="minorHAnsi"/>
          <w:bCs/>
          <w:color w:val="000000"/>
          <w:sz w:val="22"/>
          <w:szCs w:val="22"/>
        </w:rPr>
        <w:t xml:space="preserve">Approximately </w:t>
      </w:r>
      <w:r w:rsidRPr="00CF021F">
        <w:rPr>
          <w:sz w:val="22"/>
          <w:szCs w:val="22"/>
        </w:rPr>
        <w:t xml:space="preserve">17,200 organizations representing approximately 115k legal entities will connect free of cost to search for and/or download UPI records </w:t>
      </w:r>
    </w:p>
    <w:p w14:paraId="2D829592" w14:textId="0D691760" w:rsidR="0065163D" w:rsidRDefault="007625FD" w:rsidP="00D24222">
      <w:pPr>
        <w:spacing w:before="120" w:after="240"/>
        <w:jc w:val="both"/>
        <w:rPr>
          <w:b/>
          <w:u w:val="single"/>
        </w:rPr>
      </w:pPr>
      <w:r>
        <w:t>In summary, approximately 20,000 entity groups representing approximately 135,000 organizations anticipated to report data to trade repositories.</w:t>
      </w:r>
      <w:r w:rsidR="0065163D">
        <w:rPr>
          <w:b/>
          <w:u w:val="single"/>
        </w:rPr>
        <w:br w:type="page"/>
      </w:r>
    </w:p>
    <w:p w14:paraId="2D8D0561" w14:textId="4AD6CCFB" w:rsidR="007625FD" w:rsidRPr="0061337C" w:rsidRDefault="007625FD" w:rsidP="007625FD">
      <w:pPr>
        <w:spacing w:before="120" w:after="240"/>
        <w:jc w:val="both"/>
        <w:rPr>
          <w:b/>
          <w:u w:val="single"/>
        </w:rPr>
      </w:pPr>
      <w:r w:rsidRPr="0061337C">
        <w:rPr>
          <w:b/>
          <w:u w:val="single"/>
        </w:rPr>
        <w:lastRenderedPageBreak/>
        <w:t>DSB Proposal:</w:t>
      </w:r>
    </w:p>
    <w:p w14:paraId="1614204D" w14:textId="2A132611" w:rsidR="007625FD" w:rsidRDefault="007625FD" w:rsidP="007625FD">
      <w:pPr>
        <w:jc w:val="both"/>
        <w:rPr>
          <w:lang w:val="en-GB"/>
        </w:rPr>
      </w:pPr>
      <w:r>
        <w:rPr>
          <w:lang w:val="en-GB"/>
        </w:rPr>
        <w:t>In</w:t>
      </w:r>
      <w:r w:rsidRPr="00375850">
        <w:rPr>
          <w:lang w:val="en-GB"/>
        </w:rPr>
        <w:t xml:space="preserve"> response to the scale of th</w:t>
      </w:r>
      <w:r>
        <w:rPr>
          <w:lang w:val="en-GB"/>
        </w:rPr>
        <w:t>is</w:t>
      </w:r>
      <w:r w:rsidRPr="00375850">
        <w:rPr>
          <w:lang w:val="en-GB"/>
        </w:rPr>
        <w:t xml:space="preserve"> expected global demand for UPI, </w:t>
      </w:r>
      <w:r>
        <w:rPr>
          <w:lang w:val="en-GB"/>
        </w:rPr>
        <w:t>the</w:t>
      </w:r>
      <w:r w:rsidRPr="00375850">
        <w:rPr>
          <w:lang w:val="en-GB"/>
        </w:rPr>
        <w:t xml:space="preserve"> DSB </w:t>
      </w:r>
      <w:r>
        <w:rPr>
          <w:lang w:val="en-GB"/>
        </w:rPr>
        <w:t>will implement an online</w:t>
      </w:r>
      <w:r w:rsidRPr="00375850">
        <w:rPr>
          <w:lang w:val="en-GB"/>
        </w:rPr>
        <w:t xml:space="preserve"> system to allow </w:t>
      </w:r>
      <w:r>
        <w:rPr>
          <w:lang w:val="en-GB"/>
        </w:rPr>
        <w:t xml:space="preserve">fee-paying </w:t>
      </w:r>
      <w:r w:rsidRPr="00375850">
        <w:rPr>
          <w:lang w:val="en-GB"/>
        </w:rPr>
        <w:t xml:space="preserve">UPI </w:t>
      </w:r>
      <w:r>
        <w:rPr>
          <w:lang w:val="en-GB"/>
        </w:rPr>
        <w:t>Users</w:t>
      </w:r>
      <w:r w:rsidRPr="00375850">
        <w:rPr>
          <w:lang w:val="en-GB"/>
        </w:rPr>
        <w:t xml:space="preserve"> to </w:t>
      </w:r>
      <w:r>
        <w:rPr>
          <w:lang w:val="en-GB"/>
        </w:rPr>
        <w:t xml:space="preserve">perform the administrative steps to firstly </w:t>
      </w:r>
      <w:r w:rsidRPr="00375850">
        <w:rPr>
          <w:lang w:val="en-GB"/>
        </w:rPr>
        <w:t xml:space="preserve">onboard </w:t>
      </w:r>
      <w:r>
        <w:rPr>
          <w:lang w:val="en-GB"/>
        </w:rPr>
        <w:t xml:space="preserve">to the service, </w:t>
      </w:r>
      <w:r w:rsidRPr="00375850">
        <w:rPr>
          <w:lang w:val="en-GB"/>
        </w:rPr>
        <w:t xml:space="preserve">and </w:t>
      </w:r>
      <w:r>
        <w:rPr>
          <w:lang w:val="en-GB"/>
        </w:rPr>
        <w:t>then perform ‘in-life management’</w:t>
      </w:r>
      <w:r w:rsidRPr="00375850">
        <w:rPr>
          <w:lang w:val="en-GB"/>
        </w:rPr>
        <w:t xml:space="preserve"> </w:t>
      </w:r>
      <w:r>
        <w:rPr>
          <w:lang w:val="en-GB"/>
        </w:rPr>
        <w:t>processes. This approach will</w:t>
      </w:r>
      <w:r w:rsidRPr="00375850">
        <w:rPr>
          <w:lang w:val="en-GB"/>
        </w:rPr>
        <w:t xml:space="preserve"> ensure scalability and efficiency </w:t>
      </w:r>
      <w:r>
        <w:rPr>
          <w:lang w:val="en-GB"/>
        </w:rPr>
        <w:t>of the service through automation of key aspects of the onboarding process.</w:t>
      </w:r>
      <w:r w:rsidRPr="00AA4A8F">
        <w:rPr>
          <w:lang w:val="en-GB"/>
        </w:rPr>
        <w:t xml:space="preserve"> </w:t>
      </w:r>
      <w:r>
        <w:rPr>
          <w:lang w:val="en-GB"/>
        </w:rPr>
        <w:t xml:space="preserve">The online system is referred to as the </w:t>
      </w:r>
      <w:r>
        <w:t>Client Onboarding and Support Platform (COSP)</w:t>
      </w:r>
      <w:r w:rsidR="003F61F2">
        <w:t xml:space="preserve">, which </w:t>
      </w:r>
      <w:r w:rsidR="00A81F24">
        <w:t xml:space="preserve">is built on </w:t>
      </w:r>
      <w:proofErr w:type="gramStart"/>
      <w:r w:rsidR="00A81F24">
        <w:t xml:space="preserve">a </w:t>
      </w:r>
      <w:r w:rsidR="00A81F24" w:rsidRPr="00833336">
        <w:t>number of</w:t>
      </w:r>
      <w:proofErr w:type="gramEnd"/>
      <w:r w:rsidR="00A81F24" w:rsidRPr="00833336">
        <w:t xml:space="preserve"> integrated, hosted off-the-shelf solutions to provide the </w:t>
      </w:r>
      <w:r w:rsidR="00D6393F" w:rsidRPr="00833336">
        <w:t xml:space="preserve">client relationship management, </w:t>
      </w:r>
      <w:r w:rsidR="00D6393F">
        <w:t xml:space="preserve">payment and </w:t>
      </w:r>
      <w:r w:rsidR="00D6393F" w:rsidRPr="00833336">
        <w:t>billing</w:t>
      </w:r>
      <w:r w:rsidR="00D6393F">
        <w:t>, identity and access management, a</w:t>
      </w:r>
      <w:r w:rsidR="000F17D8">
        <w:t>s well as</w:t>
      </w:r>
      <w:r w:rsidR="00D6393F">
        <w:t xml:space="preserve"> FIX certification</w:t>
      </w:r>
      <w:r w:rsidR="00D6393F" w:rsidRPr="00833336">
        <w:t xml:space="preserve"> capabilities</w:t>
      </w:r>
      <w:r>
        <w:t>.</w:t>
      </w:r>
    </w:p>
    <w:p w14:paraId="1D27D715" w14:textId="3B31798B" w:rsidR="007625FD" w:rsidRDefault="007625FD" w:rsidP="007625FD">
      <w:pPr>
        <w:jc w:val="both"/>
        <w:rPr>
          <w:lang w:val="en-GB"/>
        </w:rPr>
      </w:pPr>
      <w:r>
        <w:rPr>
          <w:lang w:val="en-GB"/>
        </w:rPr>
        <w:t>At the predicted volumes of client demand</w:t>
      </w:r>
      <w:r w:rsidR="00D90C60">
        <w:rPr>
          <w:lang w:val="en-GB"/>
        </w:rPr>
        <w:t xml:space="preserve"> for the UPI Service</w:t>
      </w:r>
      <w:r>
        <w:rPr>
          <w:lang w:val="en-GB"/>
        </w:rPr>
        <w:t xml:space="preserve">, this will be a leaner, more effective model than the current manual processing approach underpinning the existing OTC ISIN </w:t>
      </w:r>
      <w:r w:rsidR="004B774A">
        <w:rPr>
          <w:lang w:val="en-GB"/>
        </w:rPr>
        <w:t>S</w:t>
      </w:r>
      <w:r>
        <w:rPr>
          <w:lang w:val="en-GB"/>
        </w:rPr>
        <w:t xml:space="preserve">ervice. This aligns </w:t>
      </w:r>
      <w:r w:rsidR="004B774A">
        <w:rPr>
          <w:lang w:val="en-GB"/>
        </w:rPr>
        <w:t xml:space="preserve">with </w:t>
      </w:r>
      <w:r>
        <w:rPr>
          <w:lang w:val="en-GB"/>
        </w:rPr>
        <w:t xml:space="preserve">the FSB Governance criteria of Lean and Fit for Purpose as outlined in section </w:t>
      </w:r>
      <w:r>
        <w:rPr>
          <w:lang w:val="en-GB"/>
        </w:rPr>
        <w:fldChar w:fldCharType="begin"/>
      </w:r>
      <w:r>
        <w:rPr>
          <w:lang w:val="en-GB"/>
        </w:rPr>
        <w:instrText xml:space="preserve"> REF _Ref83379769 \r \h  \* MERGEFORMAT </w:instrText>
      </w:r>
      <w:r>
        <w:rPr>
          <w:lang w:val="en-GB"/>
        </w:rPr>
      </w:r>
      <w:r>
        <w:rPr>
          <w:lang w:val="en-GB"/>
        </w:rPr>
        <w:fldChar w:fldCharType="separate"/>
      </w:r>
      <w:r>
        <w:rPr>
          <w:lang w:val="en-GB"/>
        </w:rPr>
        <w:t>3.2</w:t>
      </w:r>
      <w:r>
        <w:rPr>
          <w:lang w:val="en-GB"/>
        </w:rPr>
        <w:fldChar w:fldCharType="end"/>
      </w:r>
      <w:r>
        <w:rPr>
          <w:lang w:val="en-GB"/>
        </w:rPr>
        <w:t xml:space="preserve">. </w:t>
      </w:r>
    </w:p>
    <w:p w14:paraId="1C730172" w14:textId="7410ABE0" w:rsidR="007625FD" w:rsidRDefault="007625FD" w:rsidP="007625FD">
      <w:pPr>
        <w:jc w:val="both"/>
        <w:rPr>
          <w:lang w:val="en-GB"/>
        </w:rPr>
      </w:pPr>
      <w:r>
        <w:rPr>
          <w:lang w:val="en-GB"/>
        </w:rPr>
        <w:t>‘In-life management’ processes include service upgrades/downgrades, terminations, the ability to raise technical support tickets</w:t>
      </w:r>
      <w:r w:rsidRPr="00375850">
        <w:rPr>
          <w:lang w:val="en-GB"/>
        </w:rPr>
        <w:t xml:space="preserve">, with </w:t>
      </w:r>
      <w:r>
        <w:rPr>
          <w:lang w:val="en-GB"/>
        </w:rPr>
        <w:t xml:space="preserve">manual </w:t>
      </w:r>
      <w:r w:rsidRPr="00375850">
        <w:rPr>
          <w:lang w:val="en-GB"/>
        </w:rPr>
        <w:t xml:space="preserve">support </w:t>
      </w:r>
      <w:r>
        <w:rPr>
          <w:lang w:val="en-GB"/>
        </w:rPr>
        <w:t xml:space="preserve">available </w:t>
      </w:r>
      <w:r w:rsidRPr="00375850">
        <w:rPr>
          <w:lang w:val="en-GB"/>
        </w:rPr>
        <w:t xml:space="preserve">from the DSB where necessary. </w:t>
      </w:r>
      <w:r>
        <w:t xml:space="preserve">The estimated costs of the build and run of COSP </w:t>
      </w:r>
      <w:r w:rsidR="004B774A">
        <w:t>were</w:t>
      </w:r>
      <w:r>
        <w:t xml:space="preserve"> incorporated into the DSB UPI Fee Model Consultation, and the</w:t>
      </w:r>
      <w:r w:rsidR="001C6B1B">
        <w:t xml:space="preserve"> resulting</w:t>
      </w:r>
      <w:r>
        <w:t xml:space="preserve"> DSB UPI Fee Model Consultation Final Report.</w:t>
      </w:r>
    </w:p>
    <w:p w14:paraId="030B2A77" w14:textId="74FA7883" w:rsidR="007625FD" w:rsidRDefault="007625FD" w:rsidP="007625FD">
      <w:pPr>
        <w:jc w:val="both"/>
        <w:rPr>
          <w:lang w:val="en-GB"/>
        </w:rPr>
      </w:pPr>
      <w:r>
        <w:rPr>
          <w:lang w:val="en-GB"/>
        </w:rPr>
        <w:t>As stated earlier in this document,</w:t>
      </w:r>
      <w:r w:rsidR="001C6B1B">
        <w:rPr>
          <w:lang w:val="en-GB"/>
        </w:rPr>
        <w:t xml:space="preserve"> it is planned that</w:t>
      </w:r>
      <w:r>
        <w:rPr>
          <w:lang w:val="en-GB"/>
        </w:rPr>
        <w:t xml:space="preserve"> Users will be able to </w:t>
      </w:r>
      <w:r w:rsidRPr="00375850">
        <w:rPr>
          <w:lang w:val="en-GB"/>
        </w:rPr>
        <w:t>participat</w:t>
      </w:r>
      <w:r>
        <w:rPr>
          <w:lang w:val="en-GB"/>
        </w:rPr>
        <w:t>e</w:t>
      </w:r>
      <w:r w:rsidRPr="00375850">
        <w:rPr>
          <w:lang w:val="en-GB"/>
        </w:rPr>
        <w:t xml:space="preserve"> in </w:t>
      </w:r>
      <w:r>
        <w:rPr>
          <w:lang w:val="en-GB"/>
        </w:rPr>
        <w:t>User Acceptance Testing (</w:t>
      </w:r>
      <w:r w:rsidRPr="00375850">
        <w:rPr>
          <w:lang w:val="en-GB"/>
        </w:rPr>
        <w:t>UAT</w:t>
      </w:r>
      <w:r>
        <w:rPr>
          <w:lang w:val="en-GB"/>
        </w:rPr>
        <w:t>)</w:t>
      </w:r>
      <w:r w:rsidRPr="00375850">
        <w:rPr>
          <w:lang w:val="en-GB"/>
        </w:rPr>
        <w:t xml:space="preserve"> for </w:t>
      </w:r>
      <w:r>
        <w:rPr>
          <w:lang w:val="en-GB"/>
        </w:rPr>
        <w:t xml:space="preserve">the UPI Service from April 2022 </w:t>
      </w:r>
      <w:r w:rsidR="003D0F78">
        <w:rPr>
          <w:lang w:val="en-GB"/>
        </w:rPr>
        <w:t>to</w:t>
      </w:r>
      <w:r>
        <w:rPr>
          <w:lang w:val="en-GB"/>
        </w:rPr>
        <w:t xml:space="preserve"> test connection to the </w:t>
      </w:r>
      <w:r w:rsidR="00F07F21">
        <w:rPr>
          <w:lang w:val="en-GB"/>
        </w:rPr>
        <w:t>UPI Service</w:t>
      </w:r>
      <w:r>
        <w:rPr>
          <w:lang w:val="en-GB"/>
        </w:rPr>
        <w:t xml:space="preserve">. </w:t>
      </w:r>
      <w:r w:rsidRPr="00375850">
        <w:rPr>
          <w:lang w:val="en-GB"/>
        </w:rPr>
        <w:t xml:space="preserve">Go Live of the UPI Service in Production </w:t>
      </w:r>
      <w:r>
        <w:rPr>
          <w:lang w:val="en-GB"/>
        </w:rPr>
        <w:t>is planned for</w:t>
      </w:r>
      <w:r w:rsidRPr="00375850">
        <w:rPr>
          <w:lang w:val="en-GB"/>
        </w:rPr>
        <w:t xml:space="preserve"> July 2022</w:t>
      </w:r>
      <w:r>
        <w:rPr>
          <w:lang w:val="en-GB"/>
        </w:rPr>
        <w:t xml:space="preserve">. Production is the point at which Users of the UPI Service will be able to search for, retrieve and create UPIs dependent upon the access levels and thresholds associated with the </w:t>
      </w:r>
      <w:r w:rsidDel="00D3207B">
        <w:rPr>
          <w:lang w:val="en-GB"/>
        </w:rPr>
        <w:t>User</w:t>
      </w:r>
      <w:r>
        <w:rPr>
          <w:lang w:val="en-GB"/>
        </w:rPr>
        <w:t xml:space="preserve"> Type subscribed to (Infrequent, Standard, Search Only API, Power</w:t>
      </w:r>
      <w:r w:rsidDel="00C55D46">
        <w:rPr>
          <w:lang w:val="en-GB"/>
        </w:rPr>
        <w:t>)</w:t>
      </w:r>
      <w:r>
        <w:rPr>
          <w:rStyle w:val="FootnoteReference"/>
          <w:lang w:val="en-GB"/>
        </w:rPr>
        <w:footnoteReference w:id="45"/>
      </w:r>
      <w:r>
        <w:rPr>
          <w:lang w:val="en-GB"/>
        </w:rPr>
        <w:t>.</w:t>
      </w:r>
    </w:p>
    <w:p w14:paraId="5E68C59C" w14:textId="77777777" w:rsidR="007625FD" w:rsidRDefault="007625FD" w:rsidP="007625FD">
      <w:pPr>
        <w:jc w:val="both"/>
        <w:rPr>
          <w:lang w:val="en-GB"/>
        </w:rPr>
      </w:pPr>
      <w:r>
        <w:rPr>
          <w:lang w:val="en-GB"/>
        </w:rPr>
        <w:t xml:space="preserve">The COSP will launch at the same time as UAT to enable Users to commence the onboarding process (e.g., set-up their GUI permissions) to be able to take part in UAT and ensure readiness for Go Live of the UPI Service in Production from July 2022. </w:t>
      </w:r>
      <w:r w:rsidRPr="00173A8F">
        <w:rPr>
          <w:lang w:val="en-GB"/>
        </w:rPr>
        <w:t xml:space="preserve"> </w:t>
      </w:r>
    </w:p>
    <w:p w14:paraId="7471DC38" w14:textId="77777777" w:rsidR="007625FD" w:rsidRPr="00A74D39" w:rsidRDefault="007625FD" w:rsidP="00BD416F">
      <w:pPr>
        <w:jc w:val="both"/>
        <w:rPr>
          <w:lang w:val="en-GB"/>
        </w:rPr>
      </w:pPr>
      <w:r>
        <w:rPr>
          <w:lang w:val="en-GB"/>
        </w:rPr>
        <w:t>The onboarding process</w:t>
      </w:r>
      <w:r w:rsidRPr="003B0D21">
        <w:rPr>
          <w:lang w:val="en-GB"/>
        </w:rPr>
        <w:t xml:space="preserve"> </w:t>
      </w:r>
      <w:r>
        <w:rPr>
          <w:lang w:val="en-GB"/>
        </w:rPr>
        <w:t xml:space="preserve">on the COSP </w:t>
      </w:r>
      <w:r w:rsidRPr="003B0D21">
        <w:rPr>
          <w:lang w:val="en-GB"/>
        </w:rPr>
        <w:t xml:space="preserve">consists of a series of steps in which the </w:t>
      </w:r>
      <w:r>
        <w:rPr>
          <w:lang w:val="en-GB"/>
        </w:rPr>
        <w:t>User</w:t>
      </w:r>
      <w:r w:rsidRPr="003B0D21">
        <w:rPr>
          <w:lang w:val="en-GB"/>
        </w:rPr>
        <w:t xml:space="preserve"> will be asked to </w:t>
      </w:r>
      <w:r>
        <w:rPr>
          <w:lang w:val="en-GB"/>
        </w:rPr>
        <w:t>input</w:t>
      </w:r>
      <w:r w:rsidRPr="003B0D21">
        <w:rPr>
          <w:lang w:val="en-GB"/>
        </w:rPr>
        <w:t xml:space="preserve"> data </w:t>
      </w:r>
      <w:r>
        <w:rPr>
          <w:lang w:val="en-GB"/>
        </w:rPr>
        <w:t>into the online system. Key steps in the process include:</w:t>
      </w:r>
    </w:p>
    <w:p w14:paraId="4F1A4C6D" w14:textId="77777777" w:rsidR="007625FD" w:rsidRPr="00280E5D" w:rsidRDefault="007625FD" w:rsidP="00BD416F">
      <w:pPr>
        <w:pStyle w:val="ListParagraph"/>
        <w:numPr>
          <w:ilvl w:val="0"/>
          <w:numId w:val="12"/>
        </w:numPr>
        <w:autoSpaceDE/>
        <w:autoSpaceDN/>
        <w:adjustRightInd/>
        <w:spacing w:before="0" w:after="160" w:line="276" w:lineRule="auto"/>
        <w:ind w:right="0"/>
        <w:contextualSpacing/>
        <w:jc w:val="both"/>
        <w:rPr>
          <w:sz w:val="22"/>
          <w:szCs w:val="22"/>
        </w:rPr>
      </w:pPr>
      <w:r w:rsidRPr="00280E5D">
        <w:rPr>
          <w:sz w:val="22"/>
          <w:szCs w:val="22"/>
        </w:rPr>
        <w:t>Identification of the User entity and creation of the User entity profile (LEI, company name, company number, address etc.)</w:t>
      </w:r>
    </w:p>
    <w:p w14:paraId="3EF2C3A5" w14:textId="77777777" w:rsidR="007625FD" w:rsidRPr="00280E5D" w:rsidRDefault="007625FD" w:rsidP="00BD416F">
      <w:pPr>
        <w:pStyle w:val="ListParagraph"/>
        <w:numPr>
          <w:ilvl w:val="0"/>
          <w:numId w:val="12"/>
        </w:numPr>
        <w:autoSpaceDE/>
        <w:autoSpaceDN/>
        <w:adjustRightInd/>
        <w:spacing w:before="0" w:after="160" w:line="276" w:lineRule="auto"/>
        <w:ind w:right="0"/>
        <w:contextualSpacing/>
        <w:jc w:val="both"/>
        <w:rPr>
          <w:sz w:val="22"/>
          <w:szCs w:val="22"/>
        </w:rPr>
      </w:pPr>
      <w:r w:rsidRPr="00280E5D">
        <w:rPr>
          <w:sz w:val="22"/>
          <w:szCs w:val="22"/>
        </w:rPr>
        <w:t>Assignment of permissions to User entity staff for use of the COSP to the undertake administrative activities to set-up and manage subscription(s) to the DSB (capturing and storing basic contact details of client staff, in the capacity of their roles as employees)</w:t>
      </w:r>
    </w:p>
    <w:p w14:paraId="024866D0" w14:textId="77777777" w:rsidR="007625FD" w:rsidRPr="00280E5D" w:rsidRDefault="007625FD" w:rsidP="00BD416F">
      <w:pPr>
        <w:pStyle w:val="ListParagraph"/>
        <w:numPr>
          <w:ilvl w:val="0"/>
          <w:numId w:val="12"/>
        </w:numPr>
        <w:autoSpaceDE/>
        <w:autoSpaceDN/>
        <w:adjustRightInd/>
        <w:spacing w:before="0" w:after="160" w:line="276" w:lineRule="auto"/>
        <w:ind w:right="0"/>
        <w:contextualSpacing/>
        <w:jc w:val="both"/>
        <w:rPr>
          <w:sz w:val="22"/>
          <w:szCs w:val="22"/>
        </w:rPr>
      </w:pPr>
      <w:r w:rsidRPr="00280E5D">
        <w:rPr>
          <w:sz w:val="22"/>
          <w:szCs w:val="22"/>
        </w:rPr>
        <w:t>Assignment of permissions to User entity staff to access the UPI Service via the GUI (web-based)</w:t>
      </w:r>
      <w:r w:rsidRPr="00280E5D" w:rsidDel="00246A2C">
        <w:rPr>
          <w:sz w:val="22"/>
          <w:szCs w:val="22"/>
        </w:rPr>
        <w:t xml:space="preserve"> </w:t>
      </w:r>
      <w:r w:rsidRPr="00280E5D">
        <w:rPr>
          <w:sz w:val="22"/>
          <w:szCs w:val="22"/>
        </w:rPr>
        <w:t xml:space="preserve">and API (programmatic) connections (dependent on </w:t>
      </w:r>
      <w:r w:rsidRPr="00280E5D" w:rsidDel="00D3207B">
        <w:rPr>
          <w:sz w:val="22"/>
          <w:szCs w:val="22"/>
        </w:rPr>
        <w:t>User</w:t>
      </w:r>
      <w:r w:rsidRPr="00280E5D" w:rsidDel="004C0C78">
        <w:rPr>
          <w:sz w:val="22"/>
          <w:szCs w:val="22"/>
        </w:rPr>
        <w:t xml:space="preserve"> </w:t>
      </w:r>
      <w:r w:rsidRPr="00280E5D">
        <w:rPr>
          <w:sz w:val="22"/>
          <w:szCs w:val="22"/>
        </w:rPr>
        <w:t>Type selected)</w:t>
      </w:r>
    </w:p>
    <w:p w14:paraId="2E9CF32F" w14:textId="77777777" w:rsidR="007625FD" w:rsidRPr="00A74D39" w:rsidRDefault="007625FD" w:rsidP="00BD416F">
      <w:pPr>
        <w:pStyle w:val="ListParagraph"/>
        <w:numPr>
          <w:ilvl w:val="0"/>
          <w:numId w:val="12"/>
        </w:numPr>
        <w:autoSpaceDE/>
        <w:autoSpaceDN/>
        <w:adjustRightInd/>
        <w:spacing w:before="0" w:after="160" w:line="276" w:lineRule="auto"/>
        <w:ind w:right="0"/>
        <w:contextualSpacing/>
        <w:jc w:val="both"/>
        <w:rPr>
          <w:sz w:val="22"/>
          <w:szCs w:val="22"/>
        </w:rPr>
      </w:pPr>
      <w:r w:rsidRPr="00280E5D">
        <w:rPr>
          <w:sz w:val="22"/>
          <w:szCs w:val="22"/>
        </w:rPr>
        <w:lastRenderedPageBreak/>
        <w:t xml:space="preserve">Population of the required data elements for the </w:t>
      </w:r>
      <w:r w:rsidRPr="00A74D39">
        <w:rPr>
          <w:sz w:val="22"/>
          <w:szCs w:val="22"/>
        </w:rPr>
        <w:t>contractual documentation with the DSB (for example, legal</w:t>
      </w:r>
      <w:r w:rsidRPr="00A74D39" w:rsidDel="007C0C6F">
        <w:rPr>
          <w:sz w:val="22"/>
          <w:szCs w:val="22"/>
        </w:rPr>
        <w:t xml:space="preserve"> </w:t>
      </w:r>
      <w:r w:rsidRPr="00A74D39">
        <w:rPr>
          <w:sz w:val="22"/>
          <w:szCs w:val="22"/>
        </w:rPr>
        <w:t>and service threshold breach contact details for notices, affiliate information), and then review and approve the document, using a digital signature as the default approach for acceptance</w:t>
      </w:r>
    </w:p>
    <w:p w14:paraId="562A1FB4" w14:textId="39F95365" w:rsidR="007625FD" w:rsidRPr="00A74D39" w:rsidRDefault="007625FD" w:rsidP="00BD416F">
      <w:pPr>
        <w:pStyle w:val="ListParagraph"/>
        <w:numPr>
          <w:ilvl w:val="0"/>
          <w:numId w:val="12"/>
        </w:numPr>
        <w:autoSpaceDE/>
        <w:autoSpaceDN/>
        <w:adjustRightInd/>
        <w:spacing w:before="0" w:after="160" w:line="276" w:lineRule="auto"/>
        <w:ind w:right="0"/>
        <w:contextualSpacing/>
        <w:jc w:val="both"/>
        <w:rPr>
          <w:sz w:val="22"/>
          <w:szCs w:val="22"/>
        </w:rPr>
      </w:pPr>
      <w:r w:rsidRPr="00A74D39">
        <w:rPr>
          <w:sz w:val="22"/>
          <w:szCs w:val="22"/>
        </w:rPr>
        <w:t xml:space="preserve">Dependent on the selected </w:t>
      </w:r>
      <w:r w:rsidRPr="00A74D39" w:rsidDel="00D3207B">
        <w:rPr>
          <w:sz w:val="22"/>
          <w:szCs w:val="22"/>
        </w:rPr>
        <w:t>User</w:t>
      </w:r>
      <w:r w:rsidRPr="00A74D39">
        <w:rPr>
          <w:sz w:val="22"/>
          <w:szCs w:val="22"/>
        </w:rPr>
        <w:t xml:space="preserve"> Type</w:t>
      </w:r>
      <w:r w:rsidRPr="00A74D39" w:rsidDel="00F02074">
        <w:rPr>
          <w:sz w:val="22"/>
          <w:szCs w:val="22"/>
        </w:rPr>
        <w:t xml:space="preserve"> </w:t>
      </w:r>
      <w:r w:rsidRPr="00A74D39">
        <w:rPr>
          <w:sz w:val="22"/>
          <w:szCs w:val="22"/>
        </w:rPr>
        <w:t>and associated fees,</w:t>
      </w:r>
      <w:r w:rsidRPr="00A74D39" w:rsidDel="00B44FFD">
        <w:rPr>
          <w:sz w:val="22"/>
          <w:szCs w:val="22"/>
        </w:rPr>
        <w:t xml:space="preserve"> </w:t>
      </w:r>
      <w:r w:rsidRPr="00A74D39">
        <w:rPr>
          <w:sz w:val="22"/>
          <w:szCs w:val="22"/>
        </w:rPr>
        <w:t xml:space="preserve">provision of pre-payment information may be required (e.g., debit &amp; card details, which will be for one-time use only and not stored in the system) and/or billing information (e.g., billing contact details, VAT number, Purchase Order Number, which will be stored in the COSP). See section </w:t>
      </w:r>
      <w:r w:rsidRPr="00A74D39">
        <w:rPr>
          <w:sz w:val="22"/>
          <w:szCs w:val="22"/>
        </w:rPr>
        <w:fldChar w:fldCharType="begin"/>
      </w:r>
      <w:r w:rsidRPr="00A74D39">
        <w:rPr>
          <w:sz w:val="22"/>
          <w:szCs w:val="22"/>
        </w:rPr>
        <w:instrText xml:space="preserve"> REF _Ref83897154 \r \h  \* MERGEFORMAT </w:instrText>
      </w:r>
      <w:r w:rsidRPr="00A74D39">
        <w:rPr>
          <w:sz w:val="22"/>
          <w:szCs w:val="22"/>
        </w:rPr>
      </w:r>
      <w:r w:rsidRPr="00A74D39">
        <w:rPr>
          <w:sz w:val="22"/>
          <w:szCs w:val="22"/>
        </w:rPr>
        <w:fldChar w:fldCharType="separate"/>
      </w:r>
      <w:r w:rsidRPr="00A74D39">
        <w:rPr>
          <w:sz w:val="22"/>
          <w:szCs w:val="22"/>
        </w:rPr>
        <w:t>5.5</w:t>
      </w:r>
      <w:r w:rsidRPr="00A74D39">
        <w:rPr>
          <w:sz w:val="22"/>
          <w:szCs w:val="22"/>
        </w:rPr>
        <w:fldChar w:fldCharType="end"/>
      </w:r>
      <w:r w:rsidRPr="00A74D39">
        <w:rPr>
          <w:sz w:val="22"/>
          <w:szCs w:val="22"/>
        </w:rPr>
        <w:t xml:space="preserve"> for further detail on pre-payment methods.</w:t>
      </w:r>
    </w:p>
    <w:p w14:paraId="290F0DC4" w14:textId="77777777" w:rsidR="007625FD" w:rsidRPr="00375850" w:rsidRDefault="007625FD" w:rsidP="00BD416F">
      <w:pPr>
        <w:jc w:val="both"/>
        <w:rPr>
          <w:lang w:val="en-GB"/>
        </w:rPr>
      </w:pPr>
      <w:r>
        <w:rPr>
          <w:lang w:val="en-GB"/>
        </w:rPr>
        <w:t>When the COSP and UPI Service are launched, new and existing Users of the OTC ISIN Service</w:t>
      </w:r>
      <w:r w:rsidRPr="00375850">
        <w:rPr>
          <w:lang w:val="en-GB"/>
        </w:rPr>
        <w:t xml:space="preserve"> will continue to use the existing </w:t>
      </w:r>
      <w:r>
        <w:rPr>
          <w:lang w:val="en-GB"/>
        </w:rPr>
        <w:t xml:space="preserve">manual </w:t>
      </w:r>
      <w:r w:rsidRPr="00375850">
        <w:rPr>
          <w:lang w:val="en-GB"/>
        </w:rPr>
        <w:t>OTC ISIN processes</w:t>
      </w:r>
      <w:r>
        <w:rPr>
          <w:lang w:val="en-GB"/>
        </w:rPr>
        <w:t xml:space="preserve"> to onboard and manage their relationship with the DSB. The COSP will initially only be available to UPI Service Users. </w:t>
      </w:r>
    </w:p>
    <w:p w14:paraId="418FD5B8" w14:textId="015F2A30" w:rsidR="007625FD" w:rsidRPr="00375850" w:rsidRDefault="007625FD" w:rsidP="00BD416F">
      <w:pPr>
        <w:jc w:val="both"/>
        <w:rPr>
          <w:lang w:val="en-GB"/>
        </w:rPr>
      </w:pPr>
      <w:r>
        <w:rPr>
          <w:lang w:val="en-GB"/>
        </w:rPr>
        <w:t xml:space="preserve">As a result, Users of a combined </w:t>
      </w:r>
      <w:r w:rsidRPr="00375850">
        <w:rPr>
          <w:lang w:val="en-GB"/>
        </w:rPr>
        <w:t xml:space="preserve">OTC ISIN and UPI </w:t>
      </w:r>
      <w:r>
        <w:rPr>
          <w:lang w:val="en-GB"/>
        </w:rPr>
        <w:t>Service</w:t>
      </w:r>
      <w:r w:rsidRPr="00375850">
        <w:rPr>
          <w:lang w:val="en-GB"/>
        </w:rPr>
        <w:t xml:space="preserve"> will use the </w:t>
      </w:r>
      <w:r>
        <w:rPr>
          <w:lang w:val="en-GB"/>
        </w:rPr>
        <w:t xml:space="preserve">existing </w:t>
      </w:r>
      <w:r w:rsidRPr="00375850">
        <w:rPr>
          <w:lang w:val="en-GB"/>
        </w:rPr>
        <w:t xml:space="preserve">OTC ISIN processes </w:t>
      </w:r>
      <w:r>
        <w:rPr>
          <w:lang w:val="en-GB"/>
        </w:rPr>
        <w:t>to manage their</w:t>
      </w:r>
      <w:r w:rsidRPr="00375850">
        <w:rPr>
          <w:lang w:val="en-GB"/>
        </w:rPr>
        <w:t xml:space="preserve"> OTC ISIN </w:t>
      </w:r>
      <w:r>
        <w:rPr>
          <w:lang w:val="en-GB"/>
        </w:rPr>
        <w:t>S</w:t>
      </w:r>
      <w:r w:rsidRPr="00375850">
        <w:rPr>
          <w:lang w:val="en-GB"/>
        </w:rPr>
        <w:t xml:space="preserve">ervice, and the </w:t>
      </w:r>
      <w:r>
        <w:rPr>
          <w:lang w:val="en-GB"/>
        </w:rPr>
        <w:t xml:space="preserve">COSP to manage their </w:t>
      </w:r>
      <w:r w:rsidR="00F07F21">
        <w:rPr>
          <w:lang w:val="en-GB"/>
        </w:rPr>
        <w:t>UPI Service</w:t>
      </w:r>
      <w:r w:rsidRPr="00375850">
        <w:rPr>
          <w:lang w:val="en-GB"/>
        </w:rPr>
        <w:t>.</w:t>
      </w:r>
      <w:r>
        <w:rPr>
          <w:lang w:val="en-GB"/>
        </w:rPr>
        <w:t xml:space="preserve"> Questions about the UPI </w:t>
      </w:r>
      <w:r w:rsidR="000072A8">
        <w:rPr>
          <w:lang w:val="en-GB"/>
        </w:rPr>
        <w:t>S</w:t>
      </w:r>
      <w:r>
        <w:rPr>
          <w:lang w:val="en-GB"/>
        </w:rPr>
        <w:t xml:space="preserve">ervice will thus need to be submitted via COSP, and queries about the OTC </w:t>
      </w:r>
      <w:r w:rsidR="00F07F21">
        <w:rPr>
          <w:lang w:val="en-GB"/>
        </w:rPr>
        <w:t>ISIN Service</w:t>
      </w:r>
      <w:r>
        <w:rPr>
          <w:lang w:val="en-GB"/>
        </w:rPr>
        <w:t xml:space="preserve"> will continue to be received via email.</w:t>
      </w:r>
    </w:p>
    <w:p w14:paraId="4606D28E" w14:textId="39146D41" w:rsidR="007625FD" w:rsidRDefault="007625FD" w:rsidP="00BD416F">
      <w:pPr>
        <w:jc w:val="both"/>
        <w:rPr>
          <w:lang w:val="en-GB"/>
        </w:rPr>
      </w:pPr>
      <w:r>
        <w:rPr>
          <w:lang w:val="en-GB"/>
        </w:rPr>
        <w:t>The DSB acknowledges that there will be different processes for the two services</w:t>
      </w:r>
      <w:r w:rsidDel="006274BA">
        <w:rPr>
          <w:lang w:val="en-GB"/>
        </w:rPr>
        <w:t xml:space="preserve"> </w:t>
      </w:r>
      <w:r w:rsidRPr="00375850">
        <w:rPr>
          <w:lang w:val="en-GB"/>
        </w:rPr>
        <w:t xml:space="preserve">at the point of launching </w:t>
      </w:r>
      <w:r>
        <w:rPr>
          <w:lang w:val="en-GB"/>
        </w:rPr>
        <w:t xml:space="preserve">the </w:t>
      </w:r>
      <w:r w:rsidRPr="00375850">
        <w:rPr>
          <w:lang w:val="en-GB"/>
        </w:rPr>
        <w:t>UPI</w:t>
      </w:r>
      <w:r>
        <w:rPr>
          <w:lang w:val="en-GB"/>
        </w:rPr>
        <w:t xml:space="preserve"> Service</w:t>
      </w:r>
      <w:r w:rsidRPr="00375850">
        <w:rPr>
          <w:lang w:val="en-GB"/>
        </w:rPr>
        <w:t>.</w:t>
      </w:r>
      <w:r>
        <w:rPr>
          <w:lang w:val="en-GB"/>
        </w:rPr>
        <w:t xml:space="preserve"> However, the DSB </w:t>
      </w:r>
      <w:r w:rsidRPr="00375850">
        <w:rPr>
          <w:lang w:val="en-GB"/>
        </w:rPr>
        <w:t>expect</w:t>
      </w:r>
      <w:r>
        <w:rPr>
          <w:lang w:val="en-GB"/>
        </w:rPr>
        <w:t>s</w:t>
      </w:r>
      <w:r w:rsidRPr="00375850">
        <w:rPr>
          <w:lang w:val="en-GB"/>
        </w:rPr>
        <w:t xml:space="preserve"> that a</w:t>
      </w:r>
      <w:r w:rsidRPr="00375850" w:rsidDel="00AE27D0">
        <w:rPr>
          <w:lang w:val="en-GB"/>
        </w:rPr>
        <w:t xml:space="preserve"> </w:t>
      </w:r>
      <w:r w:rsidRPr="00375850">
        <w:rPr>
          <w:lang w:val="en-GB"/>
        </w:rPr>
        <w:t xml:space="preserve">roadmap </w:t>
      </w:r>
      <w:r>
        <w:rPr>
          <w:lang w:val="en-GB"/>
        </w:rPr>
        <w:t xml:space="preserve">will be proposed </w:t>
      </w:r>
      <w:r w:rsidRPr="00375850">
        <w:rPr>
          <w:lang w:val="en-GB"/>
        </w:rPr>
        <w:t>to align the two approaches</w:t>
      </w:r>
      <w:r>
        <w:rPr>
          <w:lang w:val="en-GB"/>
        </w:rPr>
        <w:t xml:space="preserve">, and further details of </w:t>
      </w:r>
      <w:r w:rsidR="00B07132">
        <w:rPr>
          <w:lang w:val="en-GB"/>
        </w:rPr>
        <w:t>such a proposal</w:t>
      </w:r>
      <w:r>
        <w:rPr>
          <w:lang w:val="en-GB"/>
        </w:rPr>
        <w:t xml:space="preserve"> will be made available to stakeholders via further consultation in due course (timelines yet to be determined). Where the two aspects dovetail, the DSB will seek to communicate </w:t>
      </w:r>
      <w:r w:rsidRPr="00CE2021">
        <w:rPr>
          <w:lang w:val="en-GB"/>
        </w:rPr>
        <w:t>early and often to ensure clients are aware of the target timelines and principles</w:t>
      </w:r>
      <w:r>
        <w:rPr>
          <w:lang w:val="en-GB"/>
        </w:rPr>
        <w:t xml:space="preserve"> so that they can prepare accordingly.</w:t>
      </w:r>
    </w:p>
    <w:p w14:paraId="3778212C" w14:textId="77777777" w:rsidR="007625FD" w:rsidRDefault="007625FD" w:rsidP="007625FD"/>
    <w:bookmarkStart w:id="75" w:name="_Ref83907780"/>
    <w:bookmarkStart w:id="76" w:name="_Ref83800868"/>
    <w:bookmarkStart w:id="77" w:name="_Toc86680475"/>
    <w:p w14:paraId="169D5533" w14:textId="77777777" w:rsidR="007625FD" w:rsidRPr="00623841" w:rsidRDefault="007625FD" w:rsidP="007625FD">
      <w:pPr>
        <w:pStyle w:val="Heading2"/>
        <w:spacing w:before="0" w:line="276" w:lineRule="auto"/>
      </w:pPr>
      <w:r>
        <w:rPr>
          <w:noProof/>
          <w:lang w:eastAsia="en-GB"/>
        </w:rPr>
        <w:lastRenderedPageBreak/>
        <mc:AlternateContent>
          <mc:Choice Requires="wps">
            <w:drawing>
              <wp:anchor distT="45720" distB="45720" distL="114300" distR="114300" simplePos="0" relativeHeight="251658241" behindDoc="0" locked="0" layoutInCell="1" allowOverlap="1" wp14:anchorId="70DAF7F4" wp14:editId="1B6739DD">
                <wp:simplePos x="0" y="0"/>
                <wp:positionH relativeFrom="margin">
                  <wp:posOffset>38735</wp:posOffset>
                </wp:positionH>
                <wp:positionV relativeFrom="paragraph">
                  <wp:posOffset>339920</wp:posOffset>
                </wp:positionV>
                <wp:extent cx="5716905" cy="1404620"/>
                <wp:effectExtent l="0" t="0" r="17145"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rgbClr val="FFFFFF"/>
                        </a:solidFill>
                        <a:ln w="9525">
                          <a:solidFill>
                            <a:srgbClr val="04AEB9"/>
                          </a:solidFill>
                          <a:miter lim="800000"/>
                          <a:headEnd/>
                          <a:tailEnd/>
                        </a:ln>
                      </wps:spPr>
                      <wps:txbx>
                        <w:txbxContent>
                          <w:p w14:paraId="4EC70FE1"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66F147ED" w14:textId="7F14ECB3" w:rsidR="007625FD" w:rsidRDefault="007625FD" w:rsidP="00BD416F">
                            <w:pPr>
                              <w:pStyle w:val="paragraph"/>
                              <w:spacing w:before="240" w:beforeAutospacing="0" w:after="120" w:afterAutospacing="0" w:line="276" w:lineRule="auto"/>
                              <w:jc w:val="both"/>
                              <w:textAlignment w:val="baseline"/>
                              <w:rPr>
                                <w:rStyle w:val="normaltextrun"/>
                                <w:rFonts w:asciiTheme="minorHAnsi" w:hAnsiTheme="minorHAnsi" w:cstheme="minorHAnsi"/>
                                <w:color w:val="000000"/>
                                <w:sz w:val="22"/>
                                <w:szCs w:val="22"/>
                              </w:rPr>
                            </w:pPr>
                            <w:r w:rsidRPr="00E774F5">
                              <w:rPr>
                                <w:rStyle w:val="normaltextrun"/>
                                <w:rFonts w:asciiTheme="minorHAnsi" w:hAnsiTheme="minorHAnsi" w:cstheme="minorHAnsi"/>
                                <w:color w:val="000000"/>
                                <w:sz w:val="22"/>
                                <w:szCs w:val="22"/>
                              </w:rPr>
                              <w:t xml:space="preserve">Industry feedback </w:t>
                            </w:r>
                            <w:r>
                              <w:rPr>
                                <w:rStyle w:val="normaltextrun"/>
                                <w:rFonts w:asciiTheme="minorHAnsi" w:hAnsiTheme="minorHAnsi" w:cstheme="minorHAnsi"/>
                                <w:color w:val="000000"/>
                                <w:sz w:val="22"/>
                                <w:szCs w:val="22"/>
                              </w:rPr>
                              <w:t>has been</w:t>
                            </w:r>
                            <w:r w:rsidRPr="00E774F5">
                              <w:rPr>
                                <w:rStyle w:val="normaltextrun"/>
                                <w:rFonts w:asciiTheme="minorHAnsi" w:hAnsiTheme="minorHAnsi" w:cstheme="minorHAnsi"/>
                                <w:color w:val="000000"/>
                                <w:sz w:val="22"/>
                                <w:szCs w:val="22"/>
                              </w:rPr>
                              <w:t xml:space="preserve"> </w:t>
                            </w:r>
                            <w:proofErr w:type="gramStart"/>
                            <w:r w:rsidRPr="00E774F5">
                              <w:rPr>
                                <w:rStyle w:val="normaltextrun"/>
                                <w:rFonts w:asciiTheme="minorHAnsi" w:hAnsiTheme="minorHAnsi" w:cstheme="minorHAnsi"/>
                                <w:color w:val="000000"/>
                                <w:sz w:val="22"/>
                                <w:szCs w:val="22"/>
                              </w:rPr>
                              <w:t>that legal provisions</w:t>
                            </w:r>
                            <w:proofErr w:type="gramEnd"/>
                            <w:r w:rsidRPr="00E774F5">
                              <w:rPr>
                                <w:rStyle w:val="normaltextrun"/>
                                <w:rFonts w:asciiTheme="minorHAnsi" w:hAnsiTheme="minorHAnsi" w:cstheme="minorHAnsi"/>
                                <w:color w:val="000000"/>
                                <w:sz w:val="22"/>
                                <w:szCs w:val="22"/>
                              </w:rPr>
                              <w:t xml:space="preserve"> to support the UPI </w:t>
                            </w:r>
                            <w:r>
                              <w:rPr>
                                <w:rStyle w:val="normaltextrun"/>
                                <w:rFonts w:asciiTheme="minorHAnsi" w:hAnsiTheme="minorHAnsi" w:cstheme="minorHAnsi"/>
                                <w:color w:val="000000"/>
                                <w:sz w:val="22"/>
                                <w:szCs w:val="22"/>
                              </w:rPr>
                              <w:t>S</w:t>
                            </w:r>
                            <w:r w:rsidRPr="00E774F5">
                              <w:rPr>
                                <w:rStyle w:val="normaltextrun"/>
                                <w:rFonts w:asciiTheme="minorHAnsi" w:hAnsiTheme="minorHAnsi" w:cstheme="minorHAnsi"/>
                                <w:color w:val="000000"/>
                                <w:sz w:val="22"/>
                                <w:szCs w:val="22"/>
                              </w:rPr>
                              <w:t>ervice should be incorporated into the existing DSB legal framework</w:t>
                            </w:r>
                            <w:r>
                              <w:rPr>
                                <w:rStyle w:val="normaltextrun"/>
                                <w:rFonts w:asciiTheme="minorHAnsi" w:hAnsiTheme="minorHAnsi" w:cstheme="minorHAnsi"/>
                                <w:color w:val="000000"/>
                                <w:sz w:val="22"/>
                                <w:szCs w:val="22"/>
                              </w:rPr>
                              <w:t xml:space="preserve"> </w:t>
                            </w:r>
                            <w:r w:rsidRPr="00E774F5">
                              <w:rPr>
                                <w:rStyle w:val="normaltextrun"/>
                                <w:rFonts w:asciiTheme="minorHAnsi" w:hAnsiTheme="minorHAnsi" w:cstheme="minorHAnsi"/>
                                <w:color w:val="000000"/>
                                <w:sz w:val="22"/>
                                <w:szCs w:val="22"/>
                              </w:rPr>
                              <w:t>that is utilized for the OTC ISIN Service</w:t>
                            </w:r>
                            <w:r>
                              <w:rPr>
                                <w:rStyle w:val="normaltextrun"/>
                                <w:rFonts w:asciiTheme="minorHAnsi" w:hAnsiTheme="minorHAnsi" w:cstheme="minorHAnsi"/>
                                <w:color w:val="000000"/>
                                <w:sz w:val="22"/>
                                <w:szCs w:val="22"/>
                              </w:rPr>
                              <w:t>, such that there is a Common Agreement.</w:t>
                            </w:r>
                            <w:r w:rsidR="0011220B">
                              <w:rPr>
                                <w:rStyle w:val="normaltextrun"/>
                                <w:rFonts w:asciiTheme="minorHAnsi" w:hAnsiTheme="minorHAnsi" w:cstheme="minorHAnsi"/>
                                <w:color w:val="000000"/>
                                <w:sz w:val="22"/>
                                <w:szCs w:val="22"/>
                              </w:rPr>
                              <w:t xml:space="preserve"> </w:t>
                            </w:r>
                            <w:r>
                              <w:rPr>
                                <w:rStyle w:val="normaltextrun"/>
                                <w:rFonts w:asciiTheme="minorHAnsi" w:hAnsiTheme="minorHAnsi" w:cstheme="minorHAnsi"/>
                                <w:color w:val="000000"/>
                                <w:sz w:val="22"/>
                                <w:szCs w:val="22"/>
                              </w:rPr>
                              <w:t xml:space="preserve">The DSB has considered </w:t>
                            </w:r>
                            <w:proofErr w:type="gramStart"/>
                            <w:r>
                              <w:rPr>
                                <w:rStyle w:val="normaltextrun"/>
                                <w:rFonts w:asciiTheme="minorHAnsi" w:hAnsiTheme="minorHAnsi" w:cstheme="minorHAnsi"/>
                                <w:color w:val="000000"/>
                                <w:sz w:val="22"/>
                                <w:szCs w:val="22"/>
                              </w:rPr>
                              <w:t>a number of</w:t>
                            </w:r>
                            <w:proofErr w:type="gramEnd"/>
                            <w:r>
                              <w:rPr>
                                <w:rStyle w:val="normaltextrun"/>
                                <w:rFonts w:asciiTheme="minorHAnsi" w:hAnsiTheme="minorHAnsi" w:cstheme="minorHAnsi"/>
                                <w:color w:val="000000"/>
                                <w:sz w:val="22"/>
                                <w:szCs w:val="22"/>
                              </w:rPr>
                              <w:t xml:space="preserve"> options to facilitate this objective in a cost effective and streamlined manner and </w:t>
                            </w:r>
                            <w:r w:rsidRPr="00EF5568">
                              <w:rPr>
                                <w:rStyle w:val="normaltextrun"/>
                                <w:rFonts w:asciiTheme="minorHAnsi" w:hAnsiTheme="minorHAnsi" w:cstheme="minorHAnsi"/>
                                <w:color w:val="000000"/>
                                <w:sz w:val="22"/>
                                <w:szCs w:val="22"/>
                              </w:rPr>
                              <w:t>proposes the introduction of the concept of a “Subscription”, through which a User accesses a DSB Service by reference to both the service-type</w:t>
                            </w:r>
                            <w:r>
                              <w:rPr>
                                <w:rStyle w:val="normaltextrun"/>
                                <w:rFonts w:asciiTheme="minorHAnsi" w:hAnsiTheme="minorHAnsi" w:cstheme="minorHAnsi"/>
                                <w:color w:val="000000"/>
                                <w:sz w:val="22"/>
                                <w:szCs w:val="22"/>
                              </w:rPr>
                              <w:t>(s)</w:t>
                            </w:r>
                            <w:r w:rsidRPr="00EF5568">
                              <w:rPr>
                                <w:rStyle w:val="normaltextrun"/>
                                <w:rFonts w:asciiTheme="minorHAnsi" w:hAnsiTheme="minorHAnsi" w:cstheme="minorHAnsi"/>
                                <w:color w:val="000000"/>
                                <w:sz w:val="22"/>
                                <w:szCs w:val="22"/>
                              </w:rPr>
                              <w:t xml:space="preserve"> (i.e., OTC ISIN and/or UPI) and User Type</w:t>
                            </w:r>
                            <w:r>
                              <w:rPr>
                                <w:rStyle w:val="normaltextrun"/>
                                <w:rFonts w:asciiTheme="minorHAnsi" w:hAnsiTheme="minorHAnsi" w:cstheme="minorHAnsi"/>
                                <w:color w:val="000000"/>
                                <w:sz w:val="22"/>
                                <w:szCs w:val="22"/>
                              </w:rPr>
                              <w:t>(s)</w:t>
                            </w:r>
                            <w:r w:rsidRPr="00EF5568">
                              <w:rPr>
                                <w:rStyle w:val="normaltextrun"/>
                                <w:rFonts w:asciiTheme="minorHAnsi" w:hAnsiTheme="minorHAnsi" w:cstheme="minorHAnsi"/>
                                <w:color w:val="000000"/>
                                <w:sz w:val="22"/>
                                <w:szCs w:val="22"/>
                              </w:rPr>
                              <w:t xml:space="preserve"> (e.g., Infrequent, Standard, </w:t>
                            </w:r>
                            <w:r>
                              <w:rPr>
                                <w:rStyle w:val="normaltextrun"/>
                                <w:rFonts w:asciiTheme="minorHAnsi" w:hAnsiTheme="minorHAnsi" w:cstheme="minorHAnsi"/>
                                <w:color w:val="000000"/>
                                <w:sz w:val="22"/>
                                <w:szCs w:val="22"/>
                              </w:rPr>
                              <w:t xml:space="preserve">Search-only API, </w:t>
                            </w:r>
                            <w:r w:rsidRPr="00EF5568">
                              <w:rPr>
                                <w:rStyle w:val="normaltextrun"/>
                                <w:rFonts w:asciiTheme="minorHAnsi" w:hAnsiTheme="minorHAnsi" w:cstheme="minorHAnsi"/>
                                <w:color w:val="000000"/>
                                <w:sz w:val="22"/>
                                <w:szCs w:val="22"/>
                              </w:rPr>
                              <w:t xml:space="preserve">Power). </w:t>
                            </w:r>
                          </w:p>
                          <w:p w14:paraId="51613958" w14:textId="1CC66E61" w:rsidR="007625FD" w:rsidRDefault="007625FD" w:rsidP="00BD416F">
                            <w:pPr>
                              <w:pStyle w:val="paragraph"/>
                              <w:spacing w:before="240" w:beforeAutospacing="0" w:after="120" w:afterAutospacing="0" w:line="276" w:lineRule="auto"/>
                              <w:jc w:val="both"/>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The DSB’s proposal is </w:t>
                            </w:r>
                            <w:r w:rsidRPr="00C41CDB">
                              <w:rPr>
                                <w:rStyle w:val="normaltextrun"/>
                                <w:rFonts w:asciiTheme="minorHAnsi" w:hAnsiTheme="minorHAnsi" w:cstheme="minorHAnsi"/>
                                <w:color w:val="000000"/>
                                <w:sz w:val="22"/>
                                <w:szCs w:val="22"/>
                              </w:rPr>
                              <w:t>that each Subscription Form is a distinct legal component of the overarching Access and Usage Agreement executed between the User and the DSB</w:t>
                            </w:r>
                            <w:r w:rsidRPr="00924326">
                              <w:rPr>
                                <w:rStyle w:val="normaltextrun"/>
                                <w:rFonts w:asciiTheme="minorHAnsi" w:hAnsiTheme="minorHAnsi" w:cstheme="minorHAnsi"/>
                                <w:color w:val="000000"/>
                                <w:sz w:val="22"/>
                                <w:szCs w:val="22"/>
                              </w:rPr>
                              <w:t xml:space="preserve">, consisting of the Subscription details, </w:t>
                            </w:r>
                            <w:r>
                              <w:rPr>
                                <w:rStyle w:val="normaltextrun"/>
                                <w:rFonts w:asciiTheme="minorHAnsi" w:hAnsiTheme="minorHAnsi" w:cstheme="minorHAnsi"/>
                                <w:color w:val="000000"/>
                                <w:sz w:val="22"/>
                                <w:szCs w:val="22"/>
                              </w:rPr>
                              <w:t xml:space="preserve">and reference to </w:t>
                            </w:r>
                            <w:r w:rsidRPr="00924326">
                              <w:rPr>
                                <w:rStyle w:val="normaltextrun"/>
                                <w:rFonts w:asciiTheme="minorHAnsi" w:hAnsiTheme="minorHAnsi" w:cstheme="minorHAnsi"/>
                                <w:color w:val="000000"/>
                                <w:sz w:val="22"/>
                                <w:szCs w:val="22"/>
                              </w:rPr>
                              <w:t xml:space="preserve">the Main Terms and the Policies. </w:t>
                            </w:r>
                            <w:r>
                              <w:rPr>
                                <w:rStyle w:val="normaltextrun"/>
                                <w:rFonts w:asciiTheme="minorHAnsi" w:hAnsiTheme="minorHAnsi" w:cstheme="minorHAnsi"/>
                                <w:color w:val="000000"/>
                                <w:sz w:val="22"/>
                                <w:szCs w:val="22"/>
                              </w:rPr>
                              <w:t xml:space="preserve">The proposed model would result in Users having where applicable, one OTC ISIN Subscription Form, including details of all subscriptions for the OTC ISIN Service, and one UPI Subscription Form including details of all subscriptions for the UPI Service. </w:t>
                            </w:r>
                            <w:r w:rsidRPr="00924326">
                              <w:rPr>
                                <w:rStyle w:val="normaltextrun"/>
                                <w:rFonts w:asciiTheme="minorHAnsi" w:hAnsiTheme="minorHAnsi" w:cstheme="minorHAnsi"/>
                                <w:color w:val="000000"/>
                                <w:sz w:val="22"/>
                                <w:szCs w:val="22"/>
                              </w:rPr>
                              <w:t xml:space="preserve">The Main Terms and Policies </w:t>
                            </w:r>
                            <w:r>
                              <w:rPr>
                                <w:rStyle w:val="normaltextrun"/>
                                <w:rFonts w:asciiTheme="minorHAnsi" w:hAnsiTheme="minorHAnsi" w:cstheme="minorHAnsi"/>
                                <w:color w:val="000000"/>
                                <w:sz w:val="22"/>
                                <w:szCs w:val="22"/>
                              </w:rPr>
                              <w:t xml:space="preserve">referenced </w:t>
                            </w:r>
                            <w:r w:rsidRPr="00924326">
                              <w:rPr>
                                <w:rStyle w:val="normaltextrun"/>
                                <w:rFonts w:asciiTheme="minorHAnsi" w:hAnsiTheme="minorHAnsi" w:cstheme="minorHAnsi"/>
                                <w:color w:val="000000"/>
                                <w:sz w:val="22"/>
                                <w:szCs w:val="22"/>
                              </w:rPr>
                              <w:t>would remain common across all Subscription</w:t>
                            </w:r>
                            <w:r>
                              <w:rPr>
                                <w:rStyle w:val="normaltextrun"/>
                                <w:rFonts w:asciiTheme="minorHAnsi" w:hAnsiTheme="minorHAnsi" w:cstheme="minorHAnsi"/>
                                <w:color w:val="000000"/>
                                <w:sz w:val="22"/>
                                <w:szCs w:val="22"/>
                              </w:rPr>
                              <w:t xml:space="preserve"> </w:t>
                            </w:r>
                            <w:r w:rsidR="001F151F">
                              <w:rPr>
                                <w:rStyle w:val="normaltextrun"/>
                                <w:rFonts w:asciiTheme="minorHAnsi" w:hAnsiTheme="minorHAnsi" w:cstheme="minorHAnsi"/>
                                <w:color w:val="000000"/>
                                <w:sz w:val="22"/>
                                <w:szCs w:val="22"/>
                              </w:rPr>
                              <w:t>Forms and</w:t>
                            </w:r>
                            <w:r w:rsidRPr="00EC06CE">
                              <w:rPr>
                                <w:rStyle w:val="normaltextrun"/>
                                <w:rFonts w:asciiTheme="minorHAnsi" w:hAnsiTheme="minorHAnsi" w:cstheme="minorHAnsi"/>
                                <w:color w:val="000000"/>
                                <w:sz w:val="22"/>
                                <w:szCs w:val="22"/>
                              </w:rPr>
                              <w:t xml:space="preserve"> con</w:t>
                            </w:r>
                            <w:r w:rsidRPr="00433B5C">
                              <w:rPr>
                                <w:rStyle w:val="normaltextrun"/>
                                <w:rFonts w:asciiTheme="minorHAnsi" w:hAnsiTheme="minorHAnsi" w:cstheme="minorHAnsi"/>
                                <w:color w:val="000000"/>
                                <w:sz w:val="22"/>
                                <w:szCs w:val="22"/>
                              </w:rPr>
                              <w:t>tain cross-subscription provisions.</w:t>
                            </w:r>
                            <w:r w:rsidRPr="00924326">
                              <w:rPr>
                                <w:rStyle w:val="normaltextrun"/>
                                <w:rFonts w:asciiTheme="minorHAnsi" w:hAnsiTheme="minorHAnsi" w:cstheme="minorHAnsi"/>
                                <w:color w:val="000000"/>
                                <w:sz w:val="22"/>
                                <w:szCs w:val="22"/>
                              </w:rPr>
                              <w:t xml:space="preserve"> </w:t>
                            </w:r>
                          </w:p>
                          <w:p w14:paraId="07A3775F" w14:textId="674EB21E" w:rsidR="007625FD" w:rsidRDefault="007625FD" w:rsidP="00BD416F">
                            <w:pPr>
                              <w:pStyle w:val="paragraph"/>
                              <w:spacing w:before="240" w:beforeAutospacing="0" w:after="120" w:afterAutospacing="0" w:line="276" w:lineRule="auto"/>
                              <w:jc w:val="both"/>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The detailed information that follows this section sets out some alternatives considered by the DSB, to provide users with insight into the DSB’s rationale for the proposed approach.</w:t>
                            </w:r>
                            <w:r w:rsidR="0011220B">
                              <w:rPr>
                                <w:rStyle w:val="normaltextrun"/>
                                <w:rFonts w:asciiTheme="minorHAnsi" w:hAnsiTheme="minorHAnsi" w:cstheme="minorHAnsi"/>
                                <w:color w:val="000000"/>
                                <w:sz w:val="22"/>
                                <w:szCs w:val="22"/>
                              </w:rPr>
                              <w:t xml:space="preserve"> </w:t>
                            </w:r>
                            <w:r w:rsidRPr="000725C0">
                              <w:rPr>
                                <w:rStyle w:val="normaltextrun"/>
                                <w:rFonts w:asciiTheme="minorHAnsi" w:hAnsiTheme="minorHAnsi" w:cstheme="minorHAnsi"/>
                                <w:color w:val="000000"/>
                                <w:sz w:val="22"/>
                                <w:szCs w:val="22"/>
                              </w:rPr>
                              <w:t>The changes proposed by the DSB are largely structural and process related</w:t>
                            </w:r>
                            <w:r>
                              <w:rPr>
                                <w:rStyle w:val="normaltextrun"/>
                                <w:rFonts w:asciiTheme="minorHAnsi" w:hAnsiTheme="minorHAnsi" w:cstheme="minorHAnsi"/>
                                <w:color w:val="000000"/>
                                <w:sz w:val="22"/>
                                <w:szCs w:val="22"/>
                              </w:rPr>
                              <w:t xml:space="preserve">. </w:t>
                            </w:r>
                            <w:r w:rsidRPr="000725C0">
                              <w:rPr>
                                <w:rStyle w:val="normaltextrun"/>
                                <w:rFonts w:asciiTheme="minorHAnsi" w:hAnsiTheme="minorHAnsi" w:cstheme="minorHAnsi"/>
                                <w:color w:val="000000"/>
                                <w:sz w:val="22"/>
                                <w:szCs w:val="22"/>
                              </w:rPr>
                              <w:t xml:space="preserve">They affect the way in which </w:t>
                            </w:r>
                            <w:proofErr w:type="gramStart"/>
                            <w:r w:rsidRPr="000725C0">
                              <w:rPr>
                                <w:rStyle w:val="normaltextrun"/>
                                <w:rFonts w:asciiTheme="minorHAnsi" w:hAnsiTheme="minorHAnsi" w:cstheme="minorHAnsi"/>
                                <w:color w:val="000000"/>
                                <w:sz w:val="22"/>
                                <w:szCs w:val="22"/>
                              </w:rPr>
                              <w:t>Users</w:t>
                            </w:r>
                            <w:proofErr w:type="gramEnd"/>
                            <w:r w:rsidRPr="000725C0">
                              <w:rPr>
                                <w:rStyle w:val="normaltextrun"/>
                                <w:rFonts w:asciiTheme="minorHAnsi" w:hAnsiTheme="minorHAnsi" w:cstheme="minorHAnsi"/>
                                <w:color w:val="000000"/>
                                <w:sz w:val="22"/>
                                <w:szCs w:val="22"/>
                              </w:rPr>
                              <w:t xml:space="preserve"> contract with the DSB and the way in which the resulting agreements are documented rather than impacting their legal rights and obligations.</w:t>
                            </w:r>
                          </w:p>
                          <w:p w14:paraId="20F38741" w14:textId="118CF471" w:rsidR="007625FD" w:rsidRPr="00BF3CB9" w:rsidRDefault="007625FD" w:rsidP="00BD416F">
                            <w:pPr>
                              <w:spacing w:after="120"/>
                              <w:jc w:val="both"/>
                              <w:rPr>
                                <w:rStyle w:val="normaltextrun"/>
                                <w:lang w:val="en-GB"/>
                              </w:rPr>
                            </w:pPr>
                            <w:r w:rsidRPr="00017ED4">
                              <w:rPr>
                                <w:lang w:val="en-GB"/>
                              </w:rPr>
                              <w:t xml:space="preserve">The </w:t>
                            </w:r>
                            <w:r>
                              <w:rPr>
                                <w:lang w:val="en-GB"/>
                              </w:rPr>
                              <w:t>revised legal</w:t>
                            </w:r>
                            <w:r w:rsidRPr="00017ED4">
                              <w:rPr>
                                <w:lang w:val="en-GB"/>
                              </w:rPr>
                              <w:t xml:space="preserve"> documentation </w:t>
                            </w:r>
                            <w:r w:rsidRPr="00103EF7">
                              <w:rPr>
                                <w:lang w:val="en-GB"/>
                              </w:rPr>
                              <w:t>structure would initially only apply</w:t>
                            </w:r>
                            <w:r>
                              <w:rPr>
                                <w:lang w:val="en-GB"/>
                              </w:rPr>
                              <w:t xml:space="preserve"> to </w:t>
                            </w:r>
                            <w:r w:rsidRPr="00017ED4">
                              <w:rPr>
                                <w:lang w:val="en-GB"/>
                              </w:rPr>
                              <w:t xml:space="preserve">new UPI </w:t>
                            </w:r>
                            <w:r w:rsidRPr="00394795">
                              <w:t>User</w:t>
                            </w:r>
                            <w:r w:rsidRPr="006F5202">
                              <w:t>s</w:t>
                            </w:r>
                            <w:r w:rsidRPr="001F656C">
                              <w:t xml:space="preserve"> </w:t>
                            </w:r>
                            <w:r w:rsidRPr="00017ED4">
                              <w:rPr>
                                <w:lang w:val="en-GB"/>
                              </w:rPr>
                              <w:t>upon the launch of the UPI Service</w:t>
                            </w:r>
                            <w:r>
                              <w:rPr>
                                <w:lang w:val="en-GB"/>
                              </w:rPr>
                              <w:t>. It is proposed that e</w:t>
                            </w:r>
                            <w:r w:rsidRPr="00017ED4">
                              <w:rPr>
                                <w:lang w:val="en-GB"/>
                              </w:rPr>
                              <w:t xml:space="preserve">xisting </w:t>
                            </w:r>
                            <w:r w:rsidRPr="00394795">
                              <w:t>User</w:t>
                            </w:r>
                            <w:r w:rsidRPr="006F5202">
                              <w:t>s</w:t>
                            </w:r>
                            <w:r w:rsidRPr="001F656C">
                              <w:t xml:space="preserve"> </w:t>
                            </w:r>
                            <w:r w:rsidRPr="00017ED4">
                              <w:rPr>
                                <w:lang w:val="en-GB"/>
                              </w:rPr>
                              <w:t xml:space="preserve">of the OTC ISIN </w:t>
                            </w:r>
                            <w:r>
                              <w:rPr>
                                <w:lang w:val="en-GB"/>
                              </w:rPr>
                              <w:t>S</w:t>
                            </w:r>
                            <w:r w:rsidRPr="00017ED4">
                              <w:rPr>
                                <w:lang w:val="en-GB"/>
                              </w:rPr>
                              <w:t xml:space="preserve">ervice will be </w:t>
                            </w:r>
                            <w:r>
                              <w:rPr>
                                <w:lang w:val="en-GB"/>
                              </w:rPr>
                              <w:t>transitioned to the new document structure via a Variation Notice</w:t>
                            </w:r>
                            <w:r w:rsidR="00860E77">
                              <w:rPr>
                                <w:lang w:val="en-GB"/>
                              </w:rPr>
                              <w:t xml:space="preserve">. </w:t>
                            </w:r>
                            <w:r w:rsidR="00CA0C52">
                              <w:rPr>
                                <w:lang w:val="en-GB"/>
                              </w:rPr>
                              <w:t>Aligned</w:t>
                            </w:r>
                            <w:r w:rsidR="000D3513">
                              <w:rPr>
                                <w:lang w:val="en-GB"/>
                              </w:rPr>
                              <w:t xml:space="preserve"> with</w:t>
                            </w:r>
                            <w:r w:rsidR="00CA0C52">
                              <w:rPr>
                                <w:lang w:val="en-GB"/>
                              </w:rPr>
                              <w:t xml:space="preserve"> </w:t>
                            </w:r>
                            <w:r w:rsidR="00B20303">
                              <w:rPr>
                                <w:lang w:val="en-GB"/>
                              </w:rPr>
                              <w:t>the Variation Notice</w:t>
                            </w:r>
                            <w:r w:rsidR="000D3513">
                              <w:rPr>
                                <w:lang w:val="en-GB"/>
                              </w:rPr>
                              <w:t xml:space="preserve"> </w:t>
                            </w:r>
                            <w:r w:rsidR="00CA0C52">
                              <w:rPr>
                                <w:lang w:val="en-GB"/>
                              </w:rPr>
                              <w:t>provision within the existing</w:t>
                            </w:r>
                            <w:r w:rsidR="000D3513">
                              <w:rPr>
                                <w:lang w:val="en-GB"/>
                              </w:rPr>
                              <w:t xml:space="preserve"> </w:t>
                            </w:r>
                            <w:r w:rsidR="00CA0C52">
                              <w:rPr>
                                <w:lang w:val="en-GB"/>
                              </w:rPr>
                              <w:t>DSB Access and Usage Agreement, s</w:t>
                            </w:r>
                            <w:r w:rsidR="000D3513">
                              <w:rPr>
                                <w:lang w:val="en-GB"/>
                              </w:rPr>
                              <w:t xml:space="preserve">ection </w:t>
                            </w:r>
                            <w:r w:rsidR="001F151F">
                              <w:rPr>
                                <w:lang w:val="en-GB"/>
                              </w:rPr>
                              <w:t>1.2,</w:t>
                            </w:r>
                            <w:r w:rsidR="000D3513">
                              <w:rPr>
                                <w:lang w:val="en-GB"/>
                              </w:rPr>
                              <w:t xml:space="preserve"> “The DSB may amend…. </w:t>
                            </w:r>
                            <w:r w:rsidR="000D3513">
                              <w:t xml:space="preserve">the Main Terms by giving ninety (90) days’ </w:t>
                            </w:r>
                            <w:proofErr w:type="gramStart"/>
                            <w:r w:rsidR="000D3513">
                              <w:t>notice</w:t>
                            </w:r>
                            <w:proofErr w:type="gramEnd"/>
                            <w:r w:rsidR="000D3513">
                              <w:t xml:space="preserve"> in writing to the User at any time provided that the same or equivalent amendments are also made to all other agreements governing access to, and use of, the DSB Service”. As such </w:t>
                            </w:r>
                            <w:proofErr w:type="gramStart"/>
                            <w:r w:rsidR="000D3513">
                              <w:t>all OTC ISIN</w:t>
                            </w:r>
                            <w:proofErr w:type="gramEnd"/>
                            <w:r w:rsidR="000D3513">
                              <w:t xml:space="preserve"> agreements will be transitioned to the new structure simultaneously. </w:t>
                            </w:r>
                            <w:r w:rsidR="000D3513">
                              <w:rPr>
                                <w:lang w:val="en-GB"/>
                              </w:rPr>
                              <w:t>C</w:t>
                            </w:r>
                            <w:r w:rsidR="000D3513" w:rsidRPr="00AA7FE2">
                              <w:rPr>
                                <w:lang w:val="en-GB"/>
                              </w:rPr>
                              <w:t xml:space="preserve">ommunication regarding plans and timelines for transition to the new document structure </w:t>
                            </w:r>
                            <w:r w:rsidR="000D3513">
                              <w:rPr>
                                <w:lang w:val="en-GB"/>
                              </w:rPr>
                              <w:t>will</w:t>
                            </w:r>
                            <w:r w:rsidR="000D3513" w:rsidRPr="00AA7FE2">
                              <w:rPr>
                                <w:lang w:val="en-GB"/>
                              </w:rPr>
                              <w:t xml:space="preserve"> follow in due course</w:t>
                            </w:r>
                            <w:r w:rsidR="000D3513" w:rsidRPr="00B05F37">
                              <w:rPr>
                                <w:lang w:val="en-GB"/>
                              </w:rPr>
                              <w:t>.</w:t>
                            </w:r>
                            <w:r w:rsidR="000D3513" w:rsidRPr="000D3513">
                              <w:t xml:space="preserve"> </w:t>
                            </w:r>
                            <w:r w:rsidR="000D3513" w:rsidRPr="003E73F2">
                              <w:t>The</w:t>
                            </w:r>
                            <w:r w:rsidR="000D3513">
                              <w:t xml:space="preserve"> DSB’s proposed approach </w:t>
                            </w:r>
                            <w:r w:rsidR="000D3513" w:rsidRPr="003E73F2">
                              <w:t xml:space="preserve">would </w:t>
                            </w:r>
                            <w:r w:rsidR="000D3513">
                              <w:t xml:space="preserve">mean that </w:t>
                            </w:r>
                            <w:r w:rsidR="000D3513" w:rsidRPr="003E73F2">
                              <w:t xml:space="preserve">Users </w:t>
                            </w:r>
                            <w:r w:rsidR="000D3513">
                              <w:t xml:space="preserve">will not need </w:t>
                            </w:r>
                            <w:r w:rsidR="000D3513" w:rsidRPr="003E73F2">
                              <w:t xml:space="preserve">to </w:t>
                            </w:r>
                            <w:r w:rsidR="000D3513" w:rsidRPr="000908F7">
                              <w:t xml:space="preserve">counter-sign these as it is simply a record of the existing agreement.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DAF7F4" id="_x0000_s1027" type="#_x0000_t202" style="position:absolute;left:0;text-align:left;margin-left:3.05pt;margin-top:26.75pt;width:450.15pt;height:110.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" strokecolor="#04aeb9">
                <v:textbox style="mso-fit-shape-to-text:t">
                  <w:txbxContent>
                    <w:p w14:paraId="4EC70FE1"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66F147ED" w14:textId="7F14ECB3" w:rsidR="007625FD" w:rsidRDefault="007625FD" w:rsidP="00BD416F">
                      <w:pPr>
                        <w:pStyle w:val="paragraph"/>
                        <w:spacing w:before="240" w:beforeAutospacing="0" w:after="120" w:afterAutospacing="0" w:line="276" w:lineRule="auto"/>
                        <w:jc w:val="both"/>
                        <w:textAlignment w:val="baseline"/>
                        <w:rPr>
                          <w:rStyle w:val="normaltextrun"/>
                          <w:rFonts w:asciiTheme="minorHAnsi" w:hAnsiTheme="minorHAnsi" w:cstheme="minorHAnsi"/>
                          <w:color w:val="000000"/>
                          <w:sz w:val="22"/>
                          <w:szCs w:val="22"/>
                        </w:rPr>
                      </w:pPr>
                      <w:r w:rsidRPr="00E774F5">
                        <w:rPr>
                          <w:rStyle w:val="normaltextrun"/>
                          <w:rFonts w:asciiTheme="minorHAnsi" w:hAnsiTheme="minorHAnsi" w:cstheme="minorHAnsi"/>
                          <w:color w:val="000000"/>
                          <w:sz w:val="22"/>
                          <w:szCs w:val="22"/>
                        </w:rPr>
                        <w:t xml:space="preserve">Industry feedback </w:t>
                      </w:r>
                      <w:r>
                        <w:rPr>
                          <w:rStyle w:val="normaltextrun"/>
                          <w:rFonts w:asciiTheme="minorHAnsi" w:hAnsiTheme="minorHAnsi" w:cstheme="minorHAnsi"/>
                          <w:color w:val="000000"/>
                          <w:sz w:val="22"/>
                          <w:szCs w:val="22"/>
                        </w:rPr>
                        <w:t>has been</w:t>
                      </w:r>
                      <w:r w:rsidRPr="00E774F5">
                        <w:rPr>
                          <w:rStyle w:val="normaltextrun"/>
                          <w:rFonts w:asciiTheme="minorHAnsi" w:hAnsiTheme="minorHAnsi" w:cstheme="minorHAnsi"/>
                          <w:color w:val="000000"/>
                          <w:sz w:val="22"/>
                          <w:szCs w:val="22"/>
                        </w:rPr>
                        <w:t xml:space="preserve"> </w:t>
                      </w:r>
                      <w:proofErr w:type="gramStart"/>
                      <w:r w:rsidRPr="00E774F5">
                        <w:rPr>
                          <w:rStyle w:val="normaltextrun"/>
                          <w:rFonts w:asciiTheme="minorHAnsi" w:hAnsiTheme="minorHAnsi" w:cstheme="minorHAnsi"/>
                          <w:color w:val="000000"/>
                          <w:sz w:val="22"/>
                          <w:szCs w:val="22"/>
                        </w:rPr>
                        <w:t>that legal provisions</w:t>
                      </w:r>
                      <w:proofErr w:type="gramEnd"/>
                      <w:r w:rsidRPr="00E774F5">
                        <w:rPr>
                          <w:rStyle w:val="normaltextrun"/>
                          <w:rFonts w:asciiTheme="minorHAnsi" w:hAnsiTheme="minorHAnsi" w:cstheme="minorHAnsi"/>
                          <w:color w:val="000000"/>
                          <w:sz w:val="22"/>
                          <w:szCs w:val="22"/>
                        </w:rPr>
                        <w:t xml:space="preserve"> to support the UPI </w:t>
                      </w:r>
                      <w:r>
                        <w:rPr>
                          <w:rStyle w:val="normaltextrun"/>
                          <w:rFonts w:asciiTheme="minorHAnsi" w:hAnsiTheme="minorHAnsi" w:cstheme="minorHAnsi"/>
                          <w:color w:val="000000"/>
                          <w:sz w:val="22"/>
                          <w:szCs w:val="22"/>
                        </w:rPr>
                        <w:t>S</w:t>
                      </w:r>
                      <w:r w:rsidRPr="00E774F5">
                        <w:rPr>
                          <w:rStyle w:val="normaltextrun"/>
                          <w:rFonts w:asciiTheme="minorHAnsi" w:hAnsiTheme="minorHAnsi" w:cstheme="minorHAnsi"/>
                          <w:color w:val="000000"/>
                          <w:sz w:val="22"/>
                          <w:szCs w:val="22"/>
                        </w:rPr>
                        <w:t>ervice should be incorporated into the existing DSB legal framework</w:t>
                      </w:r>
                      <w:r>
                        <w:rPr>
                          <w:rStyle w:val="normaltextrun"/>
                          <w:rFonts w:asciiTheme="minorHAnsi" w:hAnsiTheme="minorHAnsi" w:cstheme="minorHAnsi"/>
                          <w:color w:val="000000"/>
                          <w:sz w:val="22"/>
                          <w:szCs w:val="22"/>
                        </w:rPr>
                        <w:t xml:space="preserve"> </w:t>
                      </w:r>
                      <w:r w:rsidRPr="00E774F5">
                        <w:rPr>
                          <w:rStyle w:val="normaltextrun"/>
                          <w:rFonts w:asciiTheme="minorHAnsi" w:hAnsiTheme="minorHAnsi" w:cstheme="minorHAnsi"/>
                          <w:color w:val="000000"/>
                          <w:sz w:val="22"/>
                          <w:szCs w:val="22"/>
                        </w:rPr>
                        <w:t>that is utilized for the OTC ISIN Service</w:t>
                      </w:r>
                      <w:r>
                        <w:rPr>
                          <w:rStyle w:val="normaltextrun"/>
                          <w:rFonts w:asciiTheme="minorHAnsi" w:hAnsiTheme="minorHAnsi" w:cstheme="minorHAnsi"/>
                          <w:color w:val="000000"/>
                          <w:sz w:val="22"/>
                          <w:szCs w:val="22"/>
                        </w:rPr>
                        <w:t>, such that there is a Common Agreement.</w:t>
                      </w:r>
                      <w:r w:rsidR="0011220B">
                        <w:rPr>
                          <w:rStyle w:val="normaltextrun"/>
                          <w:rFonts w:asciiTheme="minorHAnsi" w:hAnsiTheme="minorHAnsi" w:cstheme="minorHAnsi"/>
                          <w:color w:val="000000"/>
                          <w:sz w:val="22"/>
                          <w:szCs w:val="22"/>
                        </w:rPr>
                        <w:t xml:space="preserve"> </w:t>
                      </w:r>
                      <w:r>
                        <w:rPr>
                          <w:rStyle w:val="normaltextrun"/>
                          <w:rFonts w:asciiTheme="minorHAnsi" w:hAnsiTheme="minorHAnsi" w:cstheme="minorHAnsi"/>
                          <w:color w:val="000000"/>
                          <w:sz w:val="22"/>
                          <w:szCs w:val="22"/>
                        </w:rPr>
                        <w:t xml:space="preserve">The DSB has considered </w:t>
                      </w:r>
                      <w:proofErr w:type="gramStart"/>
                      <w:r>
                        <w:rPr>
                          <w:rStyle w:val="normaltextrun"/>
                          <w:rFonts w:asciiTheme="minorHAnsi" w:hAnsiTheme="minorHAnsi" w:cstheme="minorHAnsi"/>
                          <w:color w:val="000000"/>
                          <w:sz w:val="22"/>
                          <w:szCs w:val="22"/>
                        </w:rPr>
                        <w:t>a number of</w:t>
                      </w:r>
                      <w:proofErr w:type="gramEnd"/>
                      <w:r>
                        <w:rPr>
                          <w:rStyle w:val="normaltextrun"/>
                          <w:rFonts w:asciiTheme="minorHAnsi" w:hAnsiTheme="minorHAnsi" w:cstheme="minorHAnsi"/>
                          <w:color w:val="000000"/>
                          <w:sz w:val="22"/>
                          <w:szCs w:val="22"/>
                        </w:rPr>
                        <w:t xml:space="preserve"> options to facilitate this objective in a cost effective and streamlined manner and </w:t>
                      </w:r>
                      <w:r w:rsidRPr="00EF5568">
                        <w:rPr>
                          <w:rStyle w:val="normaltextrun"/>
                          <w:rFonts w:asciiTheme="minorHAnsi" w:hAnsiTheme="minorHAnsi" w:cstheme="minorHAnsi"/>
                          <w:color w:val="000000"/>
                          <w:sz w:val="22"/>
                          <w:szCs w:val="22"/>
                        </w:rPr>
                        <w:t>proposes the introduction of the concept of a “Subscription”, through which a User accesses a DSB Service by reference to both the service-type</w:t>
                      </w:r>
                      <w:r>
                        <w:rPr>
                          <w:rStyle w:val="normaltextrun"/>
                          <w:rFonts w:asciiTheme="minorHAnsi" w:hAnsiTheme="minorHAnsi" w:cstheme="minorHAnsi"/>
                          <w:color w:val="000000"/>
                          <w:sz w:val="22"/>
                          <w:szCs w:val="22"/>
                        </w:rPr>
                        <w:t>(s)</w:t>
                      </w:r>
                      <w:r w:rsidRPr="00EF5568">
                        <w:rPr>
                          <w:rStyle w:val="normaltextrun"/>
                          <w:rFonts w:asciiTheme="minorHAnsi" w:hAnsiTheme="minorHAnsi" w:cstheme="minorHAnsi"/>
                          <w:color w:val="000000"/>
                          <w:sz w:val="22"/>
                          <w:szCs w:val="22"/>
                        </w:rPr>
                        <w:t xml:space="preserve"> (i.e., OTC ISIN and/or UPI) and User Type</w:t>
                      </w:r>
                      <w:r>
                        <w:rPr>
                          <w:rStyle w:val="normaltextrun"/>
                          <w:rFonts w:asciiTheme="minorHAnsi" w:hAnsiTheme="minorHAnsi" w:cstheme="minorHAnsi"/>
                          <w:color w:val="000000"/>
                          <w:sz w:val="22"/>
                          <w:szCs w:val="22"/>
                        </w:rPr>
                        <w:t>(s)</w:t>
                      </w:r>
                      <w:r w:rsidRPr="00EF5568">
                        <w:rPr>
                          <w:rStyle w:val="normaltextrun"/>
                          <w:rFonts w:asciiTheme="minorHAnsi" w:hAnsiTheme="minorHAnsi" w:cstheme="minorHAnsi"/>
                          <w:color w:val="000000"/>
                          <w:sz w:val="22"/>
                          <w:szCs w:val="22"/>
                        </w:rPr>
                        <w:t xml:space="preserve"> (e.g., Infrequent, Standard, </w:t>
                      </w:r>
                      <w:r>
                        <w:rPr>
                          <w:rStyle w:val="normaltextrun"/>
                          <w:rFonts w:asciiTheme="minorHAnsi" w:hAnsiTheme="minorHAnsi" w:cstheme="minorHAnsi"/>
                          <w:color w:val="000000"/>
                          <w:sz w:val="22"/>
                          <w:szCs w:val="22"/>
                        </w:rPr>
                        <w:t xml:space="preserve">Search-only API, </w:t>
                      </w:r>
                      <w:r w:rsidRPr="00EF5568">
                        <w:rPr>
                          <w:rStyle w:val="normaltextrun"/>
                          <w:rFonts w:asciiTheme="minorHAnsi" w:hAnsiTheme="minorHAnsi" w:cstheme="minorHAnsi"/>
                          <w:color w:val="000000"/>
                          <w:sz w:val="22"/>
                          <w:szCs w:val="22"/>
                        </w:rPr>
                        <w:t xml:space="preserve">Power). </w:t>
                      </w:r>
                    </w:p>
                    <w:p w14:paraId="51613958" w14:textId="1CC66E61" w:rsidR="007625FD" w:rsidRDefault="007625FD" w:rsidP="00BD416F">
                      <w:pPr>
                        <w:pStyle w:val="paragraph"/>
                        <w:spacing w:before="240" w:beforeAutospacing="0" w:after="120" w:afterAutospacing="0" w:line="276" w:lineRule="auto"/>
                        <w:jc w:val="both"/>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The DSB’s proposal is </w:t>
                      </w:r>
                      <w:r w:rsidRPr="00C41CDB">
                        <w:rPr>
                          <w:rStyle w:val="normaltextrun"/>
                          <w:rFonts w:asciiTheme="minorHAnsi" w:hAnsiTheme="minorHAnsi" w:cstheme="minorHAnsi"/>
                          <w:color w:val="000000"/>
                          <w:sz w:val="22"/>
                          <w:szCs w:val="22"/>
                        </w:rPr>
                        <w:t>that each Subscription Form is a distinct legal component of the overarching Access and Usage Agreement executed between the User and the DSB</w:t>
                      </w:r>
                      <w:r w:rsidRPr="00924326">
                        <w:rPr>
                          <w:rStyle w:val="normaltextrun"/>
                          <w:rFonts w:asciiTheme="minorHAnsi" w:hAnsiTheme="minorHAnsi" w:cstheme="minorHAnsi"/>
                          <w:color w:val="000000"/>
                          <w:sz w:val="22"/>
                          <w:szCs w:val="22"/>
                        </w:rPr>
                        <w:t xml:space="preserve">, consisting of the Subscription details, </w:t>
                      </w:r>
                      <w:r>
                        <w:rPr>
                          <w:rStyle w:val="normaltextrun"/>
                          <w:rFonts w:asciiTheme="minorHAnsi" w:hAnsiTheme="minorHAnsi" w:cstheme="minorHAnsi"/>
                          <w:color w:val="000000"/>
                          <w:sz w:val="22"/>
                          <w:szCs w:val="22"/>
                        </w:rPr>
                        <w:t xml:space="preserve">and reference to </w:t>
                      </w:r>
                      <w:r w:rsidRPr="00924326">
                        <w:rPr>
                          <w:rStyle w:val="normaltextrun"/>
                          <w:rFonts w:asciiTheme="minorHAnsi" w:hAnsiTheme="minorHAnsi" w:cstheme="minorHAnsi"/>
                          <w:color w:val="000000"/>
                          <w:sz w:val="22"/>
                          <w:szCs w:val="22"/>
                        </w:rPr>
                        <w:t xml:space="preserve">the Main Terms and the Policies. </w:t>
                      </w:r>
                      <w:r>
                        <w:rPr>
                          <w:rStyle w:val="normaltextrun"/>
                          <w:rFonts w:asciiTheme="minorHAnsi" w:hAnsiTheme="minorHAnsi" w:cstheme="minorHAnsi"/>
                          <w:color w:val="000000"/>
                          <w:sz w:val="22"/>
                          <w:szCs w:val="22"/>
                        </w:rPr>
                        <w:t xml:space="preserve">The proposed model would result in Users having where applicable, one OTC ISIN Subscription Form, including details of all subscriptions for the OTC ISIN Service, and one UPI Subscription Form including details of all subscriptions for the UPI Service. </w:t>
                      </w:r>
                      <w:r w:rsidRPr="00924326">
                        <w:rPr>
                          <w:rStyle w:val="normaltextrun"/>
                          <w:rFonts w:asciiTheme="minorHAnsi" w:hAnsiTheme="minorHAnsi" w:cstheme="minorHAnsi"/>
                          <w:color w:val="000000"/>
                          <w:sz w:val="22"/>
                          <w:szCs w:val="22"/>
                        </w:rPr>
                        <w:t xml:space="preserve">The Main Terms and Policies </w:t>
                      </w:r>
                      <w:r>
                        <w:rPr>
                          <w:rStyle w:val="normaltextrun"/>
                          <w:rFonts w:asciiTheme="minorHAnsi" w:hAnsiTheme="minorHAnsi" w:cstheme="minorHAnsi"/>
                          <w:color w:val="000000"/>
                          <w:sz w:val="22"/>
                          <w:szCs w:val="22"/>
                        </w:rPr>
                        <w:t xml:space="preserve">referenced </w:t>
                      </w:r>
                      <w:r w:rsidRPr="00924326">
                        <w:rPr>
                          <w:rStyle w:val="normaltextrun"/>
                          <w:rFonts w:asciiTheme="minorHAnsi" w:hAnsiTheme="minorHAnsi" w:cstheme="minorHAnsi"/>
                          <w:color w:val="000000"/>
                          <w:sz w:val="22"/>
                          <w:szCs w:val="22"/>
                        </w:rPr>
                        <w:t>would remain common across all Subscription</w:t>
                      </w:r>
                      <w:r>
                        <w:rPr>
                          <w:rStyle w:val="normaltextrun"/>
                          <w:rFonts w:asciiTheme="minorHAnsi" w:hAnsiTheme="minorHAnsi" w:cstheme="minorHAnsi"/>
                          <w:color w:val="000000"/>
                          <w:sz w:val="22"/>
                          <w:szCs w:val="22"/>
                        </w:rPr>
                        <w:t xml:space="preserve"> </w:t>
                      </w:r>
                      <w:r w:rsidR="001F151F">
                        <w:rPr>
                          <w:rStyle w:val="normaltextrun"/>
                          <w:rFonts w:asciiTheme="minorHAnsi" w:hAnsiTheme="minorHAnsi" w:cstheme="minorHAnsi"/>
                          <w:color w:val="000000"/>
                          <w:sz w:val="22"/>
                          <w:szCs w:val="22"/>
                        </w:rPr>
                        <w:t>Forms and</w:t>
                      </w:r>
                      <w:r w:rsidRPr="00EC06CE">
                        <w:rPr>
                          <w:rStyle w:val="normaltextrun"/>
                          <w:rFonts w:asciiTheme="minorHAnsi" w:hAnsiTheme="minorHAnsi" w:cstheme="minorHAnsi"/>
                          <w:color w:val="000000"/>
                          <w:sz w:val="22"/>
                          <w:szCs w:val="22"/>
                        </w:rPr>
                        <w:t xml:space="preserve"> con</w:t>
                      </w:r>
                      <w:r w:rsidRPr="00433B5C">
                        <w:rPr>
                          <w:rStyle w:val="normaltextrun"/>
                          <w:rFonts w:asciiTheme="minorHAnsi" w:hAnsiTheme="minorHAnsi" w:cstheme="minorHAnsi"/>
                          <w:color w:val="000000"/>
                          <w:sz w:val="22"/>
                          <w:szCs w:val="22"/>
                        </w:rPr>
                        <w:t>tain cross-subscription provisions.</w:t>
                      </w:r>
                      <w:r w:rsidRPr="00924326">
                        <w:rPr>
                          <w:rStyle w:val="normaltextrun"/>
                          <w:rFonts w:asciiTheme="minorHAnsi" w:hAnsiTheme="minorHAnsi" w:cstheme="minorHAnsi"/>
                          <w:color w:val="000000"/>
                          <w:sz w:val="22"/>
                          <w:szCs w:val="22"/>
                        </w:rPr>
                        <w:t xml:space="preserve"> </w:t>
                      </w:r>
                    </w:p>
                    <w:p w14:paraId="07A3775F" w14:textId="674EB21E" w:rsidR="007625FD" w:rsidRDefault="007625FD" w:rsidP="00BD416F">
                      <w:pPr>
                        <w:pStyle w:val="paragraph"/>
                        <w:spacing w:before="240" w:beforeAutospacing="0" w:after="120" w:afterAutospacing="0" w:line="276" w:lineRule="auto"/>
                        <w:jc w:val="both"/>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The detailed information that follows this section sets out some alternatives considered by the DSB, to provide users with insight into the DSB’s rationale for the proposed approach.</w:t>
                      </w:r>
                      <w:r w:rsidR="0011220B">
                        <w:rPr>
                          <w:rStyle w:val="normaltextrun"/>
                          <w:rFonts w:asciiTheme="minorHAnsi" w:hAnsiTheme="minorHAnsi" w:cstheme="minorHAnsi"/>
                          <w:color w:val="000000"/>
                          <w:sz w:val="22"/>
                          <w:szCs w:val="22"/>
                        </w:rPr>
                        <w:t xml:space="preserve"> </w:t>
                      </w:r>
                      <w:r w:rsidRPr="000725C0">
                        <w:rPr>
                          <w:rStyle w:val="normaltextrun"/>
                          <w:rFonts w:asciiTheme="minorHAnsi" w:hAnsiTheme="minorHAnsi" w:cstheme="minorHAnsi"/>
                          <w:color w:val="000000"/>
                          <w:sz w:val="22"/>
                          <w:szCs w:val="22"/>
                        </w:rPr>
                        <w:t>The changes proposed by the DSB are largely structural and process related</w:t>
                      </w:r>
                      <w:r>
                        <w:rPr>
                          <w:rStyle w:val="normaltextrun"/>
                          <w:rFonts w:asciiTheme="minorHAnsi" w:hAnsiTheme="minorHAnsi" w:cstheme="minorHAnsi"/>
                          <w:color w:val="000000"/>
                          <w:sz w:val="22"/>
                          <w:szCs w:val="22"/>
                        </w:rPr>
                        <w:t xml:space="preserve">. </w:t>
                      </w:r>
                      <w:r w:rsidRPr="000725C0">
                        <w:rPr>
                          <w:rStyle w:val="normaltextrun"/>
                          <w:rFonts w:asciiTheme="minorHAnsi" w:hAnsiTheme="minorHAnsi" w:cstheme="minorHAnsi"/>
                          <w:color w:val="000000"/>
                          <w:sz w:val="22"/>
                          <w:szCs w:val="22"/>
                        </w:rPr>
                        <w:t xml:space="preserve">They affect the way in which </w:t>
                      </w:r>
                      <w:proofErr w:type="gramStart"/>
                      <w:r w:rsidRPr="000725C0">
                        <w:rPr>
                          <w:rStyle w:val="normaltextrun"/>
                          <w:rFonts w:asciiTheme="minorHAnsi" w:hAnsiTheme="minorHAnsi" w:cstheme="minorHAnsi"/>
                          <w:color w:val="000000"/>
                          <w:sz w:val="22"/>
                          <w:szCs w:val="22"/>
                        </w:rPr>
                        <w:t>Users</w:t>
                      </w:r>
                      <w:proofErr w:type="gramEnd"/>
                      <w:r w:rsidRPr="000725C0">
                        <w:rPr>
                          <w:rStyle w:val="normaltextrun"/>
                          <w:rFonts w:asciiTheme="minorHAnsi" w:hAnsiTheme="minorHAnsi" w:cstheme="minorHAnsi"/>
                          <w:color w:val="000000"/>
                          <w:sz w:val="22"/>
                          <w:szCs w:val="22"/>
                        </w:rPr>
                        <w:t xml:space="preserve"> contract with the DSB and the way in which the resulting agreements are documented rather than impacting their legal rights and obligations.</w:t>
                      </w:r>
                    </w:p>
                    <w:p w14:paraId="20F38741" w14:textId="118CF471" w:rsidR="007625FD" w:rsidRPr="00BF3CB9" w:rsidRDefault="007625FD" w:rsidP="00BD416F">
                      <w:pPr>
                        <w:spacing w:after="120"/>
                        <w:jc w:val="both"/>
                        <w:rPr>
                          <w:rStyle w:val="normaltextrun"/>
                          <w:lang w:val="en-GB"/>
                        </w:rPr>
                      </w:pPr>
                      <w:r w:rsidRPr="00017ED4">
                        <w:rPr>
                          <w:lang w:val="en-GB"/>
                        </w:rPr>
                        <w:t xml:space="preserve">The </w:t>
                      </w:r>
                      <w:r>
                        <w:rPr>
                          <w:lang w:val="en-GB"/>
                        </w:rPr>
                        <w:t>revised legal</w:t>
                      </w:r>
                      <w:r w:rsidRPr="00017ED4">
                        <w:rPr>
                          <w:lang w:val="en-GB"/>
                        </w:rPr>
                        <w:t xml:space="preserve"> documentation </w:t>
                      </w:r>
                      <w:r w:rsidRPr="00103EF7">
                        <w:rPr>
                          <w:lang w:val="en-GB"/>
                        </w:rPr>
                        <w:t>structure would initially only apply</w:t>
                      </w:r>
                      <w:r>
                        <w:rPr>
                          <w:lang w:val="en-GB"/>
                        </w:rPr>
                        <w:t xml:space="preserve"> to </w:t>
                      </w:r>
                      <w:r w:rsidRPr="00017ED4">
                        <w:rPr>
                          <w:lang w:val="en-GB"/>
                        </w:rPr>
                        <w:t xml:space="preserve">new UPI </w:t>
                      </w:r>
                      <w:r w:rsidRPr="00394795">
                        <w:t>User</w:t>
                      </w:r>
                      <w:r w:rsidRPr="006F5202">
                        <w:t>s</w:t>
                      </w:r>
                      <w:r w:rsidRPr="001F656C">
                        <w:t xml:space="preserve"> </w:t>
                      </w:r>
                      <w:r w:rsidRPr="00017ED4">
                        <w:rPr>
                          <w:lang w:val="en-GB"/>
                        </w:rPr>
                        <w:t>upon the launch of the UPI Service</w:t>
                      </w:r>
                      <w:r>
                        <w:rPr>
                          <w:lang w:val="en-GB"/>
                        </w:rPr>
                        <w:t>. It is proposed that e</w:t>
                      </w:r>
                      <w:r w:rsidRPr="00017ED4">
                        <w:rPr>
                          <w:lang w:val="en-GB"/>
                        </w:rPr>
                        <w:t xml:space="preserve">xisting </w:t>
                      </w:r>
                      <w:r w:rsidRPr="00394795">
                        <w:t>User</w:t>
                      </w:r>
                      <w:r w:rsidRPr="006F5202">
                        <w:t>s</w:t>
                      </w:r>
                      <w:r w:rsidRPr="001F656C">
                        <w:t xml:space="preserve"> </w:t>
                      </w:r>
                      <w:r w:rsidRPr="00017ED4">
                        <w:rPr>
                          <w:lang w:val="en-GB"/>
                        </w:rPr>
                        <w:t xml:space="preserve">of the OTC ISIN </w:t>
                      </w:r>
                      <w:r>
                        <w:rPr>
                          <w:lang w:val="en-GB"/>
                        </w:rPr>
                        <w:t>S</w:t>
                      </w:r>
                      <w:r w:rsidRPr="00017ED4">
                        <w:rPr>
                          <w:lang w:val="en-GB"/>
                        </w:rPr>
                        <w:t xml:space="preserve">ervice will be </w:t>
                      </w:r>
                      <w:r>
                        <w:rPr>
                          <w:lang w:val="en-GB"/>
                        </w:rPr>
                        <w:t>transitioned to the new document structure via a Variation Notice</w:t>
                      </w:r>
                      <w:r w:rsidR="00860E77">
                        <w:rPr>
                          <w:lang w:val="en-GB"/>
                        </w:rPr>
                        <w:t xml:space="preserve">. </w:t>
                      </w:r>
                      <w:r w:rsidR="00CA0C52">
                        <w:rPr>
                          <w:lang w:val="en-GB"/>
                        </w:rPr>
                        <w:t>Aligned</w:t>
                      </w:r>
                      <w:r w:rsidR="000D3513">
                        <w:rPr>
                          <w:lang w:val="en-GB"/>
                        </w:rPr>
                        <w:t xml:space="preserve"> with</w:t>
                      </w:r>
                      <w:r w:rsidR="00CA0C52">
                        <w:rPr>
                          <w:lang w:val="en-GB"/>
                        </w:rPr>
                        <w:t xml:space="preserve"> </w:t>
                      </w:r>
                      <w:r w:rsidR="00B20303">
                        <w:rPr>
                          <w:lang w:val="en-GB"/>
                        </w:rPr>
                        <w:t>the Variation Notice</w:t>
                      </w:r>
                      <w:r w:rsidR="000D3513">
                        <w:rPr>
                          <w:lang w:val="en-GB"/>
                        </w:rPr>
                        <w:t xml:space="preserve"> </w:t>
                      </w:r>
                      <w:r w:rsidR="00CA0C52">
                        <w:rPr>
                          <w:lang w:val="en-GB"/>
                        </w:rPr>
                        <w:t>provision within the existing</w:t>
                      </w:r>
                      <w:r w:rsidR="000D3513">
                        <w:rPr>
                          <w:lang w:val="en-GB"/>
                        </w:rPr>
                        <w:t xml:space="preserve"> </w:t>
                      </w:r>
                      <w:r w:rsidR="00CA0C52">
                        <w:rPr>
                          <w:lang w:val="en-GB"/>
                        </w:rPr>
                        <w:t>DSB Access and Usage Agreement, s</w:t>
                      </w:r>
                      <w:r w:rsidR="000D3513">
                        <w:rPr>
                          <w:lang w:val="en-GB"/>
                        </w:rPr>
                        <w:t xml:space="preserve">ection </w:t>
                      </w:r>
                      <w:r w:rsidR="001F151F">
                        <w:rPr>
                          <w:lang w:val="en-GB"/>
                        </w:rPr>
                        <w:t>1.2,</w:t>
                      </w:r>
                      <w:r w:rsidR="000D3513">
                        <w:rPr>
                          <w:lang w:val="en-GB"/>
                        </w:rPr>
                        <w:t xml:space="preserve"> “The DSB may amend…. </w:t>
                      </w:r>
                      <w:r w:rsidR="000D3513">
                        <w:t xml:space="preserve">the Main Terms by giving ninety (90) days’ </w:t>
                      </w:r>
                      <w:proofErr w:type="gramStart"/>
                      <w:r w:rsidR="000D3513">
                        <w:t>notice</w:t>
                      </w:r>
                      <w:proofErr w:type="gramEnd"/>
                      <w:r w:rsidR="000D3513">
                        <w:t xml:space="preserve"> in writing to the User at any time provided that the same or equivalent amendments are also made to all other agreements governing access to, and use of, the DSB Service”. As such </w:t>
                      </w:r>
                      <w:proofErr w:type="gramStart"/>
                      <w:r w:rsidR="000D3513">
                        <w:t>all OTC ISIN</w:t>
                      </w:r>
                      <w:proofErr w:type="gramEnd"/>
                      <w:r w:rsidR="000D3513">
                        <w:t xml:space="preserve"> agreements will be transitioned to the new structure simultaneously. </w:t>
                      </w:r>
                      <w:r w:rsidR="000D3513">
                        <w:rPr>
                          <w:lang w:val="en-GB"/>
                        </w:rPr>
                        <w:t>C</w:t>
                      </w:r>
                      <w:r w:rsidR="000D3513" w:rsidRPr="00AA7FE2">
                        <w:rPr>
                          <w:lang w:val="en-GB"/>
                        </w:rPr>
                        <w:t xml:space="preserve">ommunication regarding plans and timelines for transition to the new document structure </w:t>
                      </w:r>
                      <w:r w:rsidR="000D3513">
                        <w:rPr>
                          <w:lang w:val="en-GB"/>
                        </w:rPr>
                        <w:t>will</w:t>
                      </w:r>
                      <w:r w:rsidR="000D3513" w:rsidRPr="00AA7FE2">
                        <w:rPr>
                          <w:lang w:val="en-GB"/>
                        </w:rPr>
                        <w:t xml:space="preserve"> follow in due course</w:t>
                      </w:r>
                      <w:r w:rsidR="000D3513" w:rsidRPr="00B05F37">
                        <w:rPr>
                          <w:lang w:val="en-GB"/>
                        </w:rPr>
                        <w:t>.</w:t>
                      </w:r>
                      <w:r w:rsidR="000D3513" w:rsidRPr="000D3513">
                        <w:t xml:space="preserve"> </w:t>
                      </w:r>
                      <w:r w:rsidR="000D3513" w:rsidRPr="003E73F2">
                        <w:t>The</w:t>
                      </w:r>
                      <w:r w:rsidR="000D3513">
                        <w:t xml:space="preserve"> DSB’s proposed approach </w:t>
                      </w:r>
                      <w:r w:rsidR="000D3513" w:rsidRPr="003E73F2">
                        <w:t xml:space="preserve">would </w:t>
                      </w:r>
                      <w:r w:rsidR="000D3513">
                        <w:t xml:space="preserve">mean that </w:t>
                      </w:r>
                      <w:r w:rsidR="000D3513" w:rsidRPr="003E73F2">
                        <w:t xml:space="preserve">Users </w:t>
                      </w:r>
                      <w:r w:rsidR="000D3513">
                        <w:t xml:space="preserve">will not need </w:t>
                      </w:r>
                      <w:r w:rsidR="000D3513" w:rsidRPr="003E73F2">
                        <w:t xml:space="preserve">to </w:t>
                      </w:r>
                      <w:r w:rsidR="000D3513" w:rsidRPr="000908F7">
                        <w:t>counter-sign these as it is simply a record of the existing agreement</w:t>
                      </w:r>
                      <w:proofErr w:type="gramStart"/>
                      <w:r w:rsidR="000D3513" w:rsidRPr="000908F7">
                        <w:t xml:space="preserve">.  </w:t>
                      </w:r>
                      <w:proofErr w:type="gramEnd"/>
                    </w:p>
                  </w:txbxContent>
                </v:textbox>
                <w10:wrap type="square" anchorx="margin"/>
              </v:shape>
            </w:pict>
          </mc:Fallback>
        </mc:AlternateContent>
      </w:r>
      <w:r>
        <w:t xml:space="preserve">Q2 - </w:t>
      </w:r>
      <w:r w:rsidRPr="005B0C21">
        <w:t xml:space="preserve">Common </w:t>
      </w:r>
      <w:r>
        <w:t>A</w:t>
      </w:r>
      <w:r w:rsidRPr="005B0C21">
        <w:t>greement</w:t>
      </w:r>
      <w:bookmarkEnd w:id="75"/>
      <w:bookmarkEnd w:id="77"/>
      <w:r w:rsidRPr="005B0C21">
        <w:t xml:space="preserve"> </w:t>
      </w:r>
      <w:bookmarkEnd w:id="76"/>
    </w:p>
    <w:p w14:paraId="2389BE86" w14:textId="77777777" w:rsidR="00BF3CB9" w:rsidRDefault="00BF3CB9">
      <w:pPr>
        <w:rPr>
          <w:rStyle w:val="normaltextrun"/>
          <w:rFonts w:cstheme="minorHAnsi"/>
          <w:b/>
          <w:bCs/>
          <w:color w:val="000000"/>
        </w:rPr>
      </w:pPr>
    </w:p>
    <w:p w14:paraId="7506711E" w14:textId="2654F00C" w:rsidR="00C948E7" w:rsidRDefault="00C948E7">
      <w:pPr>
        <w:rPr>
          <w:b/>
          <w:bCs/>
          <w:u w:val="single"/>
        </w:rPr>
      </w:pPr>
      <w:r>
        <w:rPr>
          <w:b/>
          <w:bCs/>
          <w:u w:val="single"/>
        </w:rPr>
        <w:br w:type="page"/>
      </w:r>
    </w:p>
    <w:p w14:paraId="6E2080DA" w14:textId="05917A17" w:rsidR="00BF3CB9" w:rsidRDefault="00BF3CB9" w:rsidP="007625FD">
      <w:pPr>
        <w:jc w:val="both"/>
        <w:rPr>
          <w:b/>
          <w:bCs/>
          <w:u w:val="single"/>
        </w:rPr>
      </w:pPr>
      <w:r>
        <w:rPr>
          <w:noProof/>
          <w:lang w:eastAsia="en-GB"/>
        </w:rPr>
        <w:lastRenderedPageBreak/>
        <mc:AlternateContent>
          <mc:Choice Requires="wps">
            <w:drawing>
              <wp:anchor distT="45720" distB="45720" distL="114300" distR="114300" simplePos="0" relativeHeight="251658255" behindDoc="0" locked="0" layoutInCell="1" allowOverlap="1" wp14:anchorId="39057D87" wp14:editId="22AD6E39">
                <wp:simplePos x="0" y="0"/>
                <wp:positionH relativeFrom="margin">
                  <wp:posOffset>0</wp:posOffset>
                </wp:positionH>
                <wp:positionV relativeFrom="paragraph">
                  <wp:posOffset>365760</wp:posOffset>
                </wp:positionV>
                <wp:extent cx="5716905" cy="1404620"/>
                <wp:effectExtent l="0" t="0" r="17145" b="152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rgbClr val="FFFFFF"/>
                        </a:solidFill>
                        <a:ln w="9525">
                          <a:solidFill>
                            <a:srgbClr val="04AEB9"/>
                          </a:solidFill>
                          <a:miter lim="800000"/>
                          <a:headEnd/>
                          <a:tailEnd/>
                        </a:ln>
                      </wps:spPr>
                      <wps:txbx>
                        <w:txbxContent>
                          <w:p w14:paraId="57400E69" w14:textId="77777777" w:rsidR="00BF3CB9" w:rsidRPr="00BF3CB9" w:rsidRDefault="00BF3CB9" w:rsidP="00BD416F">
                            <w:pPr>
                              <w:jc w:val="both"/>
                              <w:rPr>
                                <w:rStyle w:val="normaltextrun"/>
                                <w:rFonts w:cstheme="minorHAnsi"/>
                                <w:b/>
                                <w:bCs/>
                                <w:color w:val="000000"/>
                              </w:rPr>
                            </w:pPr>
                            <w:r w:rsidRPr="0076032B">
                              <w:rPr>
                                <w:rStyle w:val="normaltextrun"/>
                                <w:rFonts w:cstheme="minorHAnsi"/>
                                <w:b/>
                                <w:bCs/>
                                <w:color w:val="000000"/>
                              </w:rPr>
                              <w:t>Question</w:t>
                            </w:r>
                            <w:r>
                              <w:rPr>
                                <w:rStyle w:val="normaltextrun"/>
                                <w:rFonts w:cstheme="minorHAnsi"/>
                                <w:b/>
                                <w:bCs/>
                                <w:color w:val="000000"/>
                              </w:rPr>
                              <w:t xml:space="preserve"> 2a</w:t>
                            </w:r>
                            <w:r w:rsidRPr="0076032B">
                              <w:rPr>
                                <w:rStyle w:val="normaltextrun"/>
                                <w:rFonts w:cstheme="minorHAnsi"/>
                                <w:b/>
                                <w:bCs/>
                                <w:color w:val="000000"/>
                              </w:rPr>
                              <w:t xml:space="preserve">: </w:t>
                            </w:r>
                            <w:r w:rsidRPr="00BF3CB9">
                              <w:rPr>
                                <w:rStyle w:val="normaltextrun"/>
                                <w:rFonts w:cstheme="minorHAnsi"/>
                                <w:b/>
                                <w:bCs/>
                                <w:i/>
                                <w:iCs/>
                                <w:color w:val="000000"/>
                              </w:rPr>
                              <w:t>Do you concur with the proposed structure of the DSB’s contractual documentation – to have separate Subscription Forms for the OTC ISIN and UPI Services respectively referencing common Main Terms and Policies</w:t>
                            </w:r>
                            <w:r w:rsidRPr="00BF3CB9" w:rsidDel="00D44A89">
                              <w:rPr>
                                <w:rStyle w:val="normaltextrun"/>
                                <w:rFonts w:cstheme="minorHAnsi"/>
                                <w:b/>
                                <w:bCs/>
                                <w:i/>
                                <w:iCs/>
                                <w:color w:val="000000"/>
                              </w:rPr>
                              <w:t>?</w:t>
                            </w:r>
                          </w:p>
                          <w:p w14:paraId="4F75A6F6" w14:textId="77777777" w:rsidR="00BF3CB9" w:rsidRDefault="00BF3CB9" w:rsidP="00BD416F">
                            <w:pPr>
                              <w:jc w:val="both"/>
                              <w:rPr>
                                <w:rStyle w:val="normaltextrun"/>
                                <w:rFonts w:cstheme="minorHAnsi"/>
                                <w:b/>
                                <w:i/>
                                <w:color w:val="000000"/>
                              </w:rPr>
                            </w:pPr>
                            <w:r w:rsidRPr="00264FA9">
                              <w:rPr>
                                <w:rStyle w:val="normaltextrun"/>
                                <w:rFonts w:cstheme="minorHAnsi"/>
                                <w:b/>
                                <w:bCs/>
                                <w:color w:val="000000"/>
                              </w:rPr>
                              <w:t xml:space="preserve">Question </w:t>
                            </w:r>
                            <w:r>
                              <w:rPr>
                                <w:rStyle w:val="normaltextrun"/>
                                <w:rFonts w:cstheme="minorHAnsi"/>
                                <w:b/>
                                <w:bCs/>
                                <w:color w:val="000000"/>
                              </w:rPr>
                              <w:t>2</w:t>
                            </w:r>
                            <w:r w:rsidRPr="00264FA9">
                              <w:rPr>
                                <w:rStyle w:val="normaltextrun"/>
                                <w:rFonts w:cstheme="minorHAnsi"/>
                                <w:b/>
                                <w:bCs/>
                                <w:color w:val="000000"/>
                              </w:rPr>
                              <w:t>b:</w:t>
                            </w:r>
                            <w:r w:rsidRPr="00E63BBE">
                              <w:rPr>
                                <w:rStyle w:val="normaltextrun"/>
                                <w:rFonts w:cstheme="minorHAnsi"/>
                                <w:b/>
                                <w:color w:val="000000"/>
                              </w:rPr>
                              <w:t xml:space="preserve"> </w:t>
                            </w:r>
                            <w:r w:rsidRPr="00E63BBE">
                              <w:rPr>
                                <w:rStyle w:val="normaltextrun"/>
                                <w:rFonts w:cstheme="minorHAnsi"/>
                                <w:b/>
                                <w:i/>
                                <w:color w:val="000000"/>
                              </w:rPr>
                              <w:t xml:space="preserve">If not, what specific alternate approach do you recommend? Please provide a clear rationale </w:t>
                            </w:r>
                            <w:r>
                              <w:rPr>
                                <w:rStyle w:val="normaltextrun"/>
                                <w:rFonts w:cstheme="minorHAnsi"/>
                                <w:b/>
                                <w:i/>
                                <w:color w:val="000000"/>
                              </w:rPr>
                              <w:t xml:space="preserve">for any recommendations you make to </w:t>
                            </w:r>
                            <w:r w:rsidRPr="00E63BBE">
                              <w:rPr>
                                <w:rStyle w:val="normaltextrun"/>
                                <w:rFonts w:cstheme="minorHAnsi"/>
                                <w:b/>
                                <w:i/>
                                <w:color w:val="000000"/>
                              </w:rPr>
                              <w:t>incorporate into the DSB’s</w:t>
                            </w:r>
                            <w:r>
                              <w:rPr>
                                <w:rStyle w:val="normaltextrun"/>
                                <w:rFonts w:cstheme="minorHAnsi"/>
                                <w:b/>
                                <w:i/>
                                <w:color w:val="000000"/>
                              </w:rPr>
                              <w:t xml:space="preserve"> approach</w:t>
                            </w:r>
                            <w:r w:rsidRPr="00E63BBE">
                              <w:rPr>
                                <w:rStyle w:val="normaltextrun"/>
                                <w:rFonts w:cstheme="minorHAnsi"/>
                                <w:b/>
                                <w:i/>
                                <w:color w:val="000000"/>
                              </w:rPr>
                              <w:t xml:space="preserve">.  </w:t>
                            </w:r>
                          </w:p>
                          <w:p w14:paraId="6F931CE2" w14:textId="77777777" w:rsidR="00BF3CB9" w:rsidRDefault="00BF3CB9" w:rsidP="00BD416F">
                            <w:pPr>
                              <w:jc w:val="both"/>
                              <w:rPr>
                                <w:rStyle w:val="normaltextrun"/>
                                <w:rFonts w:cstheme="minorHAnsi"/>
                                <w:b/>
                                <w:i/>
                                <w:color w:val="000000"/>
                              </w:rPr>
                            </w:pPr>
                            <w:r w:rsidRPr="0076032B">
                              <w:rPr>
                                <w:rStyle w:val="normaltextrun"/>
                                <w:rFonts w:cstheme="minorHAnsi"/>
                                <w:b/>
                                <w:bCs/>
                                <w:color w:val="000000"/>
                              </w:rPr>
                              <w:t>Question</w:t>
                            </w:r>
                            <w:r>
                              <w:rPr>
                                <w:rStyle w:val="normaltextrun"/>
                                <w:rFonts w:cstheme="minorHAnsi"/>
                                <w:b/>
                                <w:bCs/>
                                <w:color w:val="000000"/>
                              </w:rPr>
                              <w:t xml:space="preserve"> 2c</w:t>
                            </w:r>
                            <w:r w:rsidRPr="0076032B">
                              <w:rPr>
                                <w:rStyle w:val="normaltextrun"/>
                                <w:rFonts w:cstheme="minorHAnsi"/>
                                <w:b/>
                                <w:bCs/>
                                <w:color w:val="000000"/>
                              </w:rPr>
                              <w:t xml:space="preserve">: </w:t>
                            </w:r>
                            <w:r>
                              <w:rPr>
                                <w:rStyle w:val="normaltextrun"/>
                                <w:rFonts w:cstheme="minorHAnsi"/>
                                <w:b/>
                                <w:i/>
                                <w:color w:val="000000"/>
                              </w:rPr>
                              <w:t xml:space="preserve">Do you concur with the outlined approach </w:t>
                            </w:r>
                            <w:r w:rsidRPr="00A64FDD">
                              <w:rPr>
                                <w:rStyle w:val="normaltextrun"/>
                                <w:rFonts w:cstheme="minorHAnsi"/>
                                <w:b/>
                                <w:i/>
                                <w:color w:val="000000"/>
                              </w:rPr>
                              <w:t xml:space="preserve">for </w:t>
                            </w:r>
                            <w:r>
                              <w:rPr>
                                <w:rStyle w:val="normaltextrun"/>
                                <w:rFonts w:cstheme="minorHAnsi"/>
                                <w:b/>
                                <w:i/>
                                <w:color w:val="000000"/>
                              </w:rPr>
                              <w:t>transition</w:t>
                            </w:r>
                            <w:r w:rsidRPr="00A64FDD">
                              <w:rPr>
                                <w:rStyle w:val="normaltextrun"/>
                                <w:rFonts w:cstheme="minorHAnsi"/>
                                <w:b/>
                                <w:i/>
                                <w:color w:val="000000"/>
                              </w:rPr>
                              <w:t xml:space="preserve"> </w:t>
                            </w:r>
                            <w:r>
                              <w:rPr>
                                <w:rStyle w:val="normaltextrun"/>
                                <w:rFonts w:cstheme="minorHAnsi"/>
                                <w:b/>
                                <w:i/>
                                <w:color w:val="000000"/>
                              </w:rPr>
                              <w:t xml:space="preserve">of </w:t>
                            </w:r>
                            <w:r w:rsidRPr="00A64FDD">
                              <w:rPr>
                                <w:rStyle w:val="normaltextrun"/>
                                <w:rFonts w:cstheme="minorHAnsi"/>
                                <w:b/>
                                <w:i/>
                                <w:color w:val="000000"/>
                              </w:rPr>
                              <w:t xml:space="preserve">existing OTC ISIN </w:t>
                            </w:r>
                            <w:r>
                              <w:rPr>
                                <w:rStyle w:val="normaltextrun"/>
                                <w:rFonts w:cstheme="minorHAnsi"/>
                                <w:b/>
                                <w:i/>
                                <w:color w:val="000000"/>
                              </w:rPr>
                              <w:t xml:space="preserve">Users to the new document structure? </w:t>
                            </w:r>
                          </w:p>
                          <w:p w14:paraId="79C7EB0E" w14:textId="77777777" w:rsidR="00BF3CB9" w:rsidRPr="00E63BBE" w:rsidRDefault="00BF3CB9" w:rsidP="00BD416F">
                            <w:pPr>
                              <w:jc w:val="both"/>
                              <w:rPr>
                                <w:rStyle w:val="normaltextrun"/>
                                <w:rFonts w:cstheme="minorHAnsi"/>
                                <w:b/>
                                <w:i/>
                                <w:color w:val="000000"/>
                              </w:rPr>
                            </w:pPr>
                            <w:r w:rsidRPr="00264FA9">
                              <w:rPr>
                                <w:rStyle w:val="normaltextrun"/>
                                <w:rFonts w:cstheme="minorHAnsi"/>
                                <w:b/>
                                <w:bCs/>
                                <w:color w:val="000000"/>
                              </w:rPr>
                              <w:t xml:space="preserve">Question </w:t>
                            </w:r>
                            <w:r>
                              <w:rPr>
                                <w:rStyle w:val="normaltextrun"/>
                                <w:rFonts w:cstheme="minorHAnsi"/>
                                <w:b/>
                                <w:bCs/>
                                <w:color w:val="000000"/>
                              </w:rPr>
                              <w:t>2d</w:t>
                            </w:r>
                            <w:r w:rsidRPr="00264FA9">
                              <w:rPr>
                                <w:rStyle w:val="normaltextrun"/>
                                <w:rFonts w:cstheme="minorHAnsi"/>
                                <w:b/>
                                <w:bCs/>
                                <w:color w:val="000000"/>
                              </w:rPr>
                              <w:t>:</w:t>
                            </w:r>
                            <w:r w:rsidRPr="00E63BBE">
                              <w:rPr>
                                <w:rStyle w:val="normaltextrun"/>
                                <w:rFonts w:cstheme="minorHAnsi"/>
                                <w:b/>
                                <w:color w:val="000000"/>
                              </w:rPr>
                              <w:t xml:space="preserve"> </w:t>
                            </w:r>
                            <w:r w:rsidRPr="00E63BBE">
                              <w:rPr>
                                <w:rStyle w:val="normaltextrun"/>
                                <w:rFonts w:cstheme="minorHAnsi"/>
                                <w:b/>
                                <w:i/>
                                <w:color w:val="000000"/>
                              </w:rPr>
                              <w:t xml:space="preserve">If not, what specific alternate approach do you recommend? Please provide a clear rationale </w:t>
                            </w:r>
                            <w:r>
                              <w:rPr>
                                <w:rStyle w:val="normaltextrun"/>
                                <w:rFonts w:cstheme="minorHAnsi"/>
                                <w:b/>
                                <w:i/>
                                <w:color w:val="000000"/>
                              </w:rPr>
                              <w:t xml:space="preserve">for any recommendations you make to </w:t>
                            </w:r>
                            <w:r w:rsidRPr="00E63BBE">
                              <w:rPr>
                                <w:rStyle w:val="normaltextrun"/>
                                <w:rFonts w:cstheme="minorHAnsi"/>
                                <w:b/>
                                <w:i/>
                                <w:color w:val="000000"/>
                              </w:rPr>
                              <w:t>incorporate into the DSB’s</w:t>
                            </w:r>
                            <w:r>
                              <w:rPr>
                                <w:rStyle w:val="normaltextrun"/>
                                <w:rFonts w:cstheme="minorHAnsi"/>
                                <w:b/>
                                <w:i/>
                                <w:color w:val="000000"/>
                              </w:rPr>
                              <w:t xml:space="preserve"> approach</w:t>
                            </w:r>
                            <w:r w:rsidRPr="00E63BBE">
                              <w:rPr>
                                <w:rStyle w:val="normaltextrun"/>
                                <w:rFonts w:cstheme="minorHAnsi"/>
                                <w:b/>
                                <w:i/>
                                <w:color w:val="00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9057D87" id="_x0000_s1028" type="#_x0000_t202" style="position:absolute;left:0;text-align:left;margin-left:0;margin-top:28.8pt;width:450.15pt;height:110.6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" strokecolor="#04aeb9">
                <v:textbox style="mso-fit-shape-to-text:t">
                  <w:txbxContent>
                    <w:p w14:paraId="57400E69" w14:textId="77777777" w:rsidR="00BF3CB9" w:rsidRPr="00BF3CB9" w:rsidRDefault="00BF3CB9" w:rsidP="00BD416F">
                      <w:pPr>
                        <w:jc w:val="both"/>
                        <w:rPr>
                          <w:rStyle w:val="normaltextrun"/>
                          <w:rFonts w:cstheme="minorHAnsi"/>
                          <w:b/>
                          <w:bCs/>
                          <w:color w:val="000000"/>
                        </w:rPr>
                      </w:pPr>
                      <w:r w:rsidRPr="0076032B">
                        <w:rPr>
                          <w:rStyle w:val="normaltextrun"/>
                          <w:rFonts w:cstheme="minorHAnsi"/>
                          <w:b/>
                          <w:bCs/>
                          <w:color w:val="000000"/>
                        </w:rPr>
                        <w:t>Question</w:t>
                      </w:r>
                      <w:r>
                        <w:rPr>
                          <w:rStyle w:val="normaltextrun"/>
                          <w:rFonts w:cstheme="minorHAnsi"/>
                          <w:b/>
                          <w:bCs/>
                          <w:color w:val="000000"/>
                        </w:rPr>
                        <w:t xml:space="preserve"> 2a</w:t>
                      </w:r>
                      <w:r w:rsidRPr="0076032B">
                        <w:rPr>
                          <w:rStyle w:val="normaltextrun"/>
                          <w:rFonts w:cstheme="minorHAnsi"/>
                          <w:b/>
                          <w:bCs/>
                          <w:color w:val="000000"/>
                        </w:rPr>
                        <w:t xml:space="preserve">: </w:t>
                      </w:r>
                      <w:r w:rsidRPr="00BF3CB9">
                        <w:rPr>
                          <w:rStyle w:val="normaltextrun"/>
                          <w:rFonts w:cstheme="minorHAnsi"/>
                          <w:b/>
                          <w:bCs/>
                          <w:i/>
                          <w:iCs/>
                          <w:color w:val="000000"/>
                        </w:rPr>
                        <w:t>Do you concur with the proposed structure of the DSB’s contractual documentation – to have separate Subscription Forms for the OTC ISIN and UPI Services respectively referencing common Main Terms and Policies</w:t>
                      </w:r>
                      <w:r w:rsidRPr="00BF3CB9" w:rsidDel="00D44A89">
                        <w:rPr>
                          <w:rStyle w:val="normaltextrun"/>
                          <w:rFonts w:cstheme="minorHAnsi"/>
                          <w:b/>
                          <w:bCs/>
                          <w:i/>
                          <w:iCs/>
                          <w:color w:val="000000"/>
                        </w:rPr>
                        <w:t>?</w:t>
                      </w:r>
                    </w:p>
                    <w:p w14:paraId="4F75A6F6" w14:textId="77777777" w:rsidR="00BF3CB9" w:rsidRDefault="00BF3CB9" w:rsidP="00BD416F">
                      <w:pPr>
                        <w:jc w:val="both"/>
                        <w:rPr>
                          <w:rStyle w:val="normaltextrun"/>
                          <w:rFonts w:cstheme="minorHAnsi"/>
                          <w:b/>
                          <w:i/>
                          <w:color w:val="000000"/>
                        </w:rPr>
                      </w:pPr>
                      <w:r w:rsidRPr="00264FA9">
                        <w:rPr>
                          <w:rStyle w:val="normaltextrun"/>
                          <w:rFonts w:cstheme="minorHAnsi"/>
                          <w:b/>
                          <w:bCs/>
                          <w:color w:val="000000"/>
                        </w:rPr>
                        <w:t xml:space="preserve">Question </w:t>
                      </w:r>
                      <w:r>
                        <w:rPr>
                          <w:rStyle w:val="normaltextrun"/>
                          <w:rFonts w:cstheme="minorHAnsi"/>
                          <w:b/>
                          <w:bCs/>
                          <w:color w:val="000000"/>
                        </w:rPr>
                        <w:t>2</w:t>
                      </w:r>
                      <w:r w:rsidRPr="00264FA9">
                        <w:rPr>
                          <w:rStyle w:val="normaltextrun"/>
                          <w:rFonts w:cstheme="minorHAnsi"/>
                          <w:b/>
                          <w:bCs/>
                          <w:color w:val="000000"/>
                        </w:rPr>
                        <w:t>b:</w:t>
                      </w:r>
                      <w:r w:rsidRPr="00E63BBE">
                        <w:rPr>
                          <w:rStyle w:val="normaltextrun"/>
                          <w:rFonts w:cstheme="minorHAnsi"/>
                          <w:b/>
                          <w:color w:val="000000"/>
                        </w:rPr>
                        <w:t xml:space="preserve"> </w:t>
                      </w:r>
                      <w:r w:rsidRPr="00E63BBE">
                        <w:rPr>
                          <w:rStyle w:val="normaltextrun"/>
                          <w:rFonts w:cstheme="minorHAnsi"/>
                          <w:b/>
                          <w:i/>
                          <w:color w:val="000000"/>
                        </w:rPr>
                        <w:t xml:space="preserve">If not, what specific alternate approach do you recommend? Please provide a clear rationale </w:t>
                      </w:r>
                      <w:r>
                        <w:rPr>
                          <w:rStyle w:val="normaltextrun"/>
                          <w:rFonts w:cstheme="minorHAnsi"/>
                          <w:b/>
                          <w:i/>
                          <w:color w:val="000000"/>
                        </w:rPr>
                        <w:t xml:space="preserve">for any recommendations you make to </w:t>
                      </w:r>
                      <w:r w:rsidRPr="00E63BBE">
                        <w:rPr>
                          <w:rStyle w:val="normaltextrun"/>
                          <w:rFonts w:cstheme="minorHAnsi"/>
                          <w:b/>
                          <w:i/>
                          <w:color w:val="000000"/>
                        </w:rPr>
                        <w:t>incorporate into the DSB’s</w:t>
                      </w:r>
                      <w:r>
                        <w:rPr>
                          <w:rStyle w:val="normaltextrun"/>
                          <w:rFonts w:cstheme="minorHAnsi"/>
                          <w:b/>
                          <w:i/>
                          <w:color w:val="000000"/>
                        </w:rPr>
                        <w:t xml:space="preserve"> approach</w:t>
                      </w:r>
                      <w:proofErr w:type="gramStart"/>
                      <w:r w:rsidRPr="00E63BBE">
                        <w:rPr>
                          <w:rStyle w:val="normaltextrun"/>
                          <w:rFonts w:cstheme="minorHAnsi"/>
                          <w:b/>
                          <w:i/>
                          <w:color w:val="000000"/>
                        </w:rPr>
                        <w:t xml:space="preserve">.  </w:t>
                      </w:r>
                      <w:proofErr w:type="gramEnd"/>
                    </w:p>
                    <w:p w14:paraId="6F931CE2" w14:textId="77777777" w:rsidR="00BF3CB9" w:rsidRDefault="00BF3CB9" w:rsidP="00BD416F">
                      <w:pPr>
                        <w:jc w:val="both"/>
                        <w:rPr>
                          <w:rStyle w:val="normaltextrun"/>
                          <w:rFonts w:cstheme="minorHAnsi"/>
                          <w:b/>
                          <w:i/>
                          <w:color w:val="000000"/>
                        </w:rPr>
                      </w:pPr>
                      <w:r w:rsidRPr="0076032B">
                        <w:rPr>
                          <w:rStyle w:val="normaltextrun"/>
                          <w:rFonts w:cstheme="minorHAnsi"/>
                          <w:b/>
                          <w:bCs/>
                          <w:color w:val="000000"/>
                        </w:rPr>
                        <w:t>Question</w:t>
                      </w:r>
                      <w:r>
                        <w:rPr>
                          <w:rStyle w:val="normaltextrun"/>
                          <w:rFonts w:cstheme="minorHAnsi"/>
                          <w:b/>
                          <w:bCs/>
                          <w:color w:val="000000"/>
                        </w:rPr>
                        <w:t xml:space="preserve"> 2c</w:t>
                      </w:r>
                      <w:r w:rsidRPr="0076032B">
                        <w:rPr>
                          <w:rStyle w:val="normaltextrun"/>
                          <w:rFonts w:cstheme="minorHAnsi"/>
                          <w:b/>
                          <w:bCs/>
                          <w:color w:val="000000"/>
                        </w:rPr>
                        <w:t xml:space="preserve">: </w:t>
                      </w:r>
                      <w:r>
                        <w:rPr>
                          <w:rStyle w:val="normaltextrun"/>
                          <w:rFonts w:cstheme="minorHAnsi"/>
                          <w:b/>
                          <w:i/>
                          <w:color w:val="000000"/>
                        </w:rPr>
                        <w:t xml:space="preserve">Do you concur with the outlined approach </w:t>
                      </w:r>
                      <w:r w:rsidRPr="00A64FDD">
                        <w:rPr>
                          <w:rStyle w:val="normaltextrun"/>
                          <w:rFonts w:cstheme="minorHAnsi"/>
                          <w:b/>
                          <w:i/>
                          <w:color w:val="000000"/>
                        </w:rPr>
                        <w:t xml:space="preserve">for </w:t>
                      </w:r>
                      <w:r>
                        <w:rPr>
                          <w:rStyle w:val="normaltextrun"/>
                          <w:rFonts w:cstheme="minorHAnsi"/>
                          <w:b/>
                          <w:i/>
                          <w:color w:val="000000"/>
                        </w:rPr>
                        <w:t>transition</w:t>
                      </w:r>
                      <w:r w:rsidRPr="00A64FDD">
                        <w:rPr>
                          <w:rStyle w:val="normaltextrun"/>
                          <w:rFonts w:cstheme="minorHAnsi"/>
                          <w:b/>
                          <w:i/>
                          <w:color w:val="000000"/>
                        </w:rPr>
                        <w:t xml:space="preserve"> </w:t>
                      </w:r>
                      <w:r>
                        <w:rPr>
                          <w:rStyle w:val="normaltextrun"/>
                          <w:rFonts w:cstheme="minorHAnsi"/>
                          <w:b/>
                          <w:i/>
                          <w:color w:val="000000"/>
                        </w:rPr>
                        <w:t xml:space="preserve">of </w:t>
                      </w:r>
                      <w:r w:rsidRPr="00A64FDD">
                        <w:rPr>
                          <w:rStyle w:val="normaltextrun"/>
                          <w:rFonts w:cstheme="minorHAnsi"/>
                          <w:b/>
                          <w:i/>
                          <w:color w:val="000000"/>
                        </w:rPr>
                        <w:t xml:space="preserve">existing OTC ISIN </w:t>
                      </w:r>
                      <w:r>
                        <w:rPr>
                          <w:rStyle w:val="normaltextrun"/>
                          <w:rFonts w:cstheme="minorHAnsi"/>
                          <w:b/>
                          <w:i/>
                          <w:color w:val="000000"/>
                        </w:rPr>
                        <w:t xml:space="preserve">Users to the new document structure? </w:t>
                      </w:r>
                    </w:p>
                    <w:p w14:paraId="79C7EB0E" w14:textId="77777777" w:rsidR="00BF3CB9" w:rsidRPr="00E63BBE" w:rsidRDefault="00BF3CB9" w:rsidP="00BD416F">
                      <w:pPr>
                        <w:jc w:val="both"/>
                        <w:rPr>
                          <w:rStyle w:val="normaltextrun"/>
                          <w:rFonts w:cstheme="minorHAnsi"/>
                          <w:b/>
                          <w:i/>
                          <w:color w:val="000000"/>
                        </w:rPr>
                      </w:pPr>
                      <w:r w:rsidRPr="00264FA9">
                        <w:rPr>
                          <w:rStyle w:val="normaltextrun"/>
                          <w:rFonts w:cstheme="minorHAnsi"/>
                          <w:b/>
                          <w:bCs/>
                          <w:color w:val="000000"/>
                        </w:rPr>
                        <w:t xml:space="preserve">Question </w:t>
                      </w:r>
                      <w:r>
                        <w:rPr>
                          <w:rStyle w:val="normaltextrun"/>
                          <w:rFonts w:cstheme="minorHAnsi"/>
                          <w:b/>
                          <w:bCs/>
                          <w:color w:val="000000"/>
                        </w:rPr>
                        <w:t>2d</w:t>
                      </w:r>
                      <w:r w:rsidRPr="00264FA9">
                        <w:rPr>
                          <w:rStyle w:val="normaltextrun"/>
                          <w:rFonts w:cstheme="minorHAnsi"/>
                          <w:b/>
                          <w:bCs/>
                          <w:color w:val="000000"/>
                        </w:rPr>
                        <w:t>:</w:t>
                      </w:r>
                      <w:r w:rsidRPr="00E63BBE">
                        <w:rPr>
                          <w:rStyle w:val="normaltextrun"/>
                          <w:rFonts w:cstheme="minorHAnsi"/>
                          <w:b/>
                          <w:color w:val="000000"/>
                        </w:rPr>
                        <w:t xml:space="preserve"> </w:t>
                      </w:r>
                      <w:r w:rsidRPr="00E63BBE">
                        <w:rPr>
                          <w:rStyle w:val="normaltextrun"/>
                          <w:rFonts w:cstheme="minorHAnsi"/>
                          <w:b/>
                          <w:i/>
                          <w:color w:val="000000"/>
                        </w:rPr>
                        <w:t xml:space="preserve">If not, what specific alternate approach do you recommend? Please provide a clear rationale </w:t>
                      </w:r>
                      <w:r>
                        <w:rPr>
                          <w:rStyle w:val="normaltextrun"/>
                          <w:rFonts w:cstheme="minorHAnsi"/>
                          <w:b/>
                          <w:i/>
                          <w:color w:val="000000"/>
                        </w:rPr>
                        <w:t xml:space="preserve">for any recommendations you make to </w:t>
                      </w:r>
                      <w:r w:rsidRPr="00E63BBE">
                        <w:rPr>
                          <w:rStyle w:val="normaltextrun"/>
                          <w:rFonts w:cstheme="minorHAnsi"/>
                          <w:b/>
                          <w:i/>
                          <w:color w:val="000000"/>
                        </w:rPr>
                        <w:t>incorporate into the DSB’s</w:t>
                      </w:r>
                      <w:r>
                        <w:rPr>
                          <w:rStyle w:val="normaltextrun"/>
                          <w:rFonts w:cstheme="minorHAnsi"/>
                          <w:b/>
                          <w:i/>
                          <w:color w:val="000000"/>
                        </w:rPr>
                        <w:t xml:space="preserve"> approach</w:t>
                      </w:r>
                      <w:proofErr w:type="gramStart"/>
                      <w:r w:rsidRPr="00E63BBE">
                        <w:rPr>
                          <w:rStyle w:val="normaltextrun"/>
                          <w:rFonts w:cstheme="minorHAnsi"/>
                          <w:b/>
                          <w:i/>
                          <w:color w:val="000000"/>
                        </w:rPr>
                        <w:t xml:space="preserve">.  </w:t>
                      </w:r>
                      <w:proofErr w:type="gramEnd"/>
                    </w:p>
                  </w:txbxContent>
                </v:textbox>
                <w10:wrap type="square" anchorx="margin"/>
              </v:shape>
            </w:pict>
          </mc:Fallback>
        </mc:AlternateContent>
      </w:r>
    </w:p>
    <w:p w14:paraId="2096E0F0" w14:textId="77777777" w:rsidR="00BF3CB9" w:rsidRDefault="00BF3CB9" w:rsidP="007625FD">
      <w:pPr>
        <w:jc w:val="both"/>
        <w:rPr>
          <w:b/>
          <w:bCs/>
          <w:u w:val="single"/>
        </w:rPr>
      </w:pPr>
    </w:p>
    <w:p w14:paraId="2CDA528E" w14:textId="505D2665" w:rsidR="007625FD" w:rsidRPr="00623841" w:rsidRDefault="007625FD" w:rsidP="007625FD">
      <w:pPr>
        <w:jc w:val="both"/>
        <w:rPr>
          <w:b/>
          <w:bCs/>
          <w:u w:val="single"/>
        </w:rPr>
      </w:pPr>
      <w:r w:rsidRPr="00623841">
        <w:rPr>
          <w:b/>
          <w:bCs/>
          <w:u w:val="single"/>
        </w:rPr>
        <w:t>Supporting Information:</w:t>
      </w:r>
    </w:p>
    <w:p w14:paraId="4E9DE0EF" w14:textId="77777777" w:rsidR="007625FD" w:rsidRDefault="007625FD" w:rsidP="007625FD">
      <w:pPr>
        <w:spacing w:after="120"/>
        <w:jc w:val="both"/>
        <w:rPr>
          <w:lang w:val="en-GB"/>
        </w:rPr>
      </w:pPr>
      <w:r>
        <w:rPr>
          <w:lang w:val="en-GB"/>
        </w:rPr>
        <w:t xml:space="preserve">The DSB currently caters for Users that only need access to the existing OTC ISIN Service and will need to evolve to cater for three different types of Users following launch of the DSB’s UPI Service: </w:t>
      </w:r>
    </w:p>
    <w:p w14:paraId="19CB1861" w14:textId="77777777" w:rsidR="007625FD" w:rsidRPr="00EE720C" w:rsidRDefault="007625FD" w:rsidP="007625FD">
      <w:pPr>
        <w:pStyle w:val="ListParagraph"/>
        <w:numPr>
          <w:ilvl w:val="0"/>
          <w:numId w:val="13"/>
        </w:numPr>
        <w:autoSpaceDE/>
        <w:autoSpaceDN/>
        <w:adjustRightInd/>
        <w:spacing w:before="0" w:after="120" w:line="276" w:lineRule="auto"/>
        <w:ind w:right="0"/>
        <w:contextualSpacing/>
        <w:jc w:val="both"/>
        <w:rPr>
          <w:sz w:val="22"/>
          <w:szCs w:val="22"/>
        </w:rPr>
      </w:pPr>
      <w:r w:rsidRPr="00EE720C">
        <w:rPr>
          <w:sz w:val="22"/>
          <w:szCs w:val="22"/>
        </w:rPr>
        <w:t>OTC ISIN Service only (cost recovery and optional services*)</w:t>
      </w:r>
    </w:p>
    <w:p w14:paraId="1F72F5C4" w14:textId="77777777" w:rsidR="007625FD" w:rsidRPr="00EE720C" w:rsidRDefault="007625FD" w:rsidP="007625FD">
      <w:pPr>
        <w:pStyle w:val="ListParagraph"/>
        <w:numPr>
          <w:ilvl w:val="0"/>
          <w:numId w:val="13"/>
        </w:numPr>
        <w:autoSpaceDE/>
        <w:autoSpaceDN/>
        <w:adjustRightInd/>
        <w:spacing w:before="0" w:after="120" w:line="276" w:lineRule="auto"/>
        <w:ind w:right="0"/>
        <w:contextualSpacing/>
        <w:jc w:val="both"/>
        <w:rPr>
          <w:sz w:val="22"/>
          <w:szCs w:val="22"/>
        </w:rPr>
      </w:pPr>
      <w:r w:rsidRPr="00EE720C">
        <w:rPr>
          <w:sz w:val="22"/>
          <w:szCs w:val="22"/>
        </w:rPr>
        <w:t>UPI Service only (cost recovery and optional services)</w:t>
      </w:r>
    </w:p>
    <w:p w14:paraId="184B2058" w14:textId="77777777" w:rsidR="007625FD" w:rsidRPr="00EE720C" w:rsidRDefault="007625FD" w:rsidP="007625FD">
      <w:pPr>
        <w:pStyle w:val="ListParagraph"/>
        <w:numPr>
          <w:ilvl w:val="0"/>
          <w:numId w:val="13"/>
        </w:numPr>
        <w:autoSpaceDE/>
        <w:autoSpaceDN/>
        <w:adjustRightInd/>
        <w:spacing w:before="0" w:after="120" w:line="276" w:lineRule="auto"/>
        <w:ind w:right="0"/>
        <w:contextualSpacing/>
        <w:jc w:val="both"/>
        <w:rPr>
          <w:sz w:val="22"/>
          <w:szCs w:val="22"/>
        </w:rPr>
      </w:pPr>
      <w:r w:rsidRPr="00EE720C">
        <w:rPr>
          <w:sz w:val="22"/>
          <w:szCs w:val="22"/>
        </w:rPr>
        <w:t>Both OTC ISIN + UPI Services (cost recovery and optional services)</w:t>
      </w:r>
    </w:p>
    <w:p w14:paraId="15249608" w14:textId="77777777" w:rsidR="007625FD" w:rsidRDefault="007625FD" w:rsidP="007625FD">
      <w:pPr>
        <w:spacing w:after="120"/>
        <w:jc w:val="both"/>
      </w:pPr>
      <w:r>
        <w:t>*</w:t>
      </w:r>
      <w:hyperlink r:id="rId32" w:history="1">
        <w:r w:rsidRPr="003F3AFF">
          <w:rPr>
            <w:rStyle w:val="Hyperlink"/>
          </w:rPr>
          <w:t>Optional Services</w:t>
        </w:r>
      </w:hyperlink>
      <w:r>
        <w:rPr>
          <w:rStyle w:val="FootnoteReference"/>
        </w:rPr>
        <w:footnoteReference w:id="46"/>
      </w:r>
      <w:r>
        <w:t xml:space="preserve"> are </w:t>
      </w:r>
      <w:r w:rsidRPr="00797953">
        <w:t>not required for general access and connectivity</w:t>
      </w:r>
      <w:r>
        <w:t xml:space="preserve"> to </w:t>
      </w:r>
      <w:r w:rsidRPr="00797953">
        <w:t>the DSB.</w:t>
      </w:r>
      <w:r>
        <w:t xml:space="preserve"> Optional Services provided by the DSB include for example (a) private </w:t>
      </w:r>
      <w:r w:rsidRPr="0041139C">
        <w:t xml:space="preserve">hosting and connectivity </w:t>
      </w:r>
      <w:r>
        <w:t>facilities</w:t>
      </w:r>
      <w:r w:rsidRPr="0041139C">
        <w:t xml:space="preserve"> supported by a hotline of </w:t>
      </w:r>
      <w:proofErr w:type="spellStart"/>
      <w:r w:rsidRPr="0041139C">
        <w:t>specialised</w:t>
      </w:r>
      <w:proofErr w:type="spellEnd"/>
      <w:r w:rsidRPr="0041139C">
        <w:t xml:space="preserve"> financial technology and business professionals</w:t>
      </w:r>
      <w:r>
        <w:t xml:space="preserve">, and (b) a </w:t>
      </w:r>
      <w:r w:rsidRPr="0085625A">
        <w:t>managed hosting service w</w:t>
      </w:r>
      <w:r>
        <w:t xml:space="preserve">ith a bespoke </w:t>
      </w:r>
      <w:r w:rsidRPr="0085625A">
        <w:t xml:space="preserve">infrastructure stack designed for end users with a requirement for </w:t>
      </w:r>
      <w:r>
        <w:t xml:space="preserve">substantively </w:t>
      </w:r>
      <w:r w:rsidRPr="0085625A">
        <w:t>higher throughput rates &amp; lower and/or consistent latency</w:t>
      </w:r>
      <w:r>
        <w:t>, and on-call technical support services</w:t>
      </w:r>
      <w:r w:rsidRPr="0085625A">
        <w:t>.</w:t>
      </w:r>
      <w:r>
        <w:t xml:space="preserve"> The range of Optional Services for UPI is under consideration and details will be available via the DSB website in due course, with users seeking such services able to contact </w:t>
      </w:r>
      <w:hyperlink r:id="rId33" w:history="1">
        <w:r w:rsidRPr="00574EBE">
          <w:rPr>
            <w:rStyle w:val="Hyperlink"/>
          </w:rPr>
          <w:t>otc.data@anna-dsb.com</w:t>
        </w:r>
      </w:hyperlink>
      <w:r>
        <w:t xml:space="preserve"> with requests or queries.</w:t>
      </w:r>
    </w:p>
    <w:p w14:paraId="379C5E04" w14:textId="079F391D" w:rsidR="007625FD" w:rsidRPr="00906380" w:rsidRDefault="007625FD" w:rsidP="007625FD">
      <w:pPr>
        <w:spacing w:after="120"/>
        <w:jc w:val="both"/>
        <w:rPr>
          <w:lang w:val="en-GB"/>
        </w:rPr>
      </w:pPr>
      <w:r w:rsidRPr="00684570">
        <w:rPr>
          <w:lang w:val="en-GB"/>
        </w:rPr>
        <w:t xml:space="preserve">Industry feedback in response to two </w:t>
      </w:r>
      <w:r>
        <w:rPr>
          <w:lang w:val="en-GB"/>
        </w:rPr>
        <w:t xml:space="preserve">rounds of earlier consultation on the topic of the </w:t>
      </w:r>
      <w:r w:rsidRPr="00684570">
        <w:rPr>
          <w:lang w:val="en-GB"/>
        </w:rPr>
        <w:t xml:space="preserve">UPI Fee Model </w:t>
      </w:r>
      <w:r>
        <w:rPr>
          <w:lang w:val="en-GB"/>
        </w:rPr>
        <w:t xml:space="preserve">noted that legal provisions to support the </w:t>
      </w:r>
      <w:r w:rsidR="00F07F21">
        <w:rPr>
          <w:lang w:val="en-GB"/>
        </w:rPr>
        <w:t>UPI Service</w:t>
      </w:r>
      <w:r w:rsidRPr="00502499">
        <w:rPr>
          <w:lang w:val="en-GB"/>
        </w:rPr>
        <w:t xml:space="preserve"> </w:t>
      </w:r>
      <w:r>
        <w:rPr>
          <w:lang w:val="en-GB"/>
        </w:rPr>
        <w:t xml:space="preserve">should be </w:t>
      </w:r>
      <w:r w:rsidRPr="00502499">
        <w:rPr>
          <w:lang w:val="en-GB"/>
        </w:rPr>
        <w:t xml:space="preserve">incorporated </w:t>
      </w:r>
      <w:r>
        <w:rPr>
          <w:lang w:val="en-GB"/>
        </w:rPr>
        <w:t>as far as possible</w:t>
      </w:r>
      <w:r w:rsidRPr="00502499">
        <w:rPr>
          <w:lang w:val="en-GB"/>
        </w:rPr>
        <w:t xml:space="preserve"> into</w:t>
      </w:r>
      <w:r>
        <w:rPr>
          <w:lang w:val="en-GB"/>
        </w:rPr>
        <w:t xml:space="preserve"> the </w:t>
      </w:r>
      <w:r w:rsidRPr="00502499">
        <w:rPr>
          <w:lang w:val="en-GB"/>
        </w:rPr>
        <w:t xml:space="preserve">existing </w:t>
      </w:r>
      <w:r>
        <w:rPr>
          <w:lang w:val="en-GB"/>
        </w:rPr>
        <w:t>DSB legal framework, the DSB Access and Usage A</w:t>
      </w:r>
      <w:r w:rsidRPr="00502499">
        <w:rPr>
          <w:lang w:val="en-GB"/>
        </w:rPr>
        <w:t>greement</w:t>
      </w:r>
      <w:r>
        <w:rPr>
          <w:rStyle w:val="FootnoteReference"/>
          <w:lang w:val="en-GB"/>
        </w:rPr>
        <w:footnoteReference w:id="47"/>
      </w:r>
      <w:r>
        <w:rPr>
          <w:lang w:val="en-GB"/>
        </w:rPr>
        <w:t xml:space="preserve"> (that is utilized for the OTC ISIN Service), with e</w:t>
      </w:r>
      <w:r w:rsidRPr="00502499">
        <w:rPr>
          <w:lang w:val="en-GB"/>
        </w:rPr>
        <w:t xml:space="preserve">ach </w:t>
      </w:r>
      <w:r>
        <w:rPr>
          <w:lang w:val="en-GB"/>
        </w:rPr>
        <w:t>User entity</w:t>
      </w:r>
      <w:r w:rsidRPr="00502499">
        <w:rPr>
          <w:lang w:val="en-GB"/>
        </w:rPr>
        <w:t xml:space="preserve"> able </w:t>
      </w:r>
      <w:r>
        <w:rPr>
          <w:lang w:val="en-GB"/>
        </w:rPr>
        <w:t>to select</w:t>
      </w:r>
      <w:r w:rsidRPr="00502499">
        <w:rPr>
          <w:lang w:val="en-GB"/>
        </w:rPr>
        <w:t xml:space="preserve"> which services they are subscribing to</w:t>
      </w:r>
      <w:r>
        <w:rPr>
          <w:lang w:val="en-GB"/>
        </w:rPr>
        <w:t>,</w:t>
      </w:r>
      <w:r w:rsidRPr="004C6B2D">
        <w:rPr>
          <w:lang w:val="en-GB"/>
        </w:rPr>
        <w:t xml:space="preserve"> </w:t>
      </w:r>
      <w:r w:rsidRPr="00502499">
        <w:rPr>
          <w:lang w:val="en-GB"/>
        </w:rPr>
        <w:t xml:space="preserve">based on a single </w:t>
      </w:r>
      <w:r>
        <w:rPr>
          <w:lang w:val="en-GB"/>
        </w:rPr>
        <w:t>User</w:t>
      </w:r>
      <w:r w:rsidRPr="00502499">
        <w:rPr>
          <w:lang w:val="en-GB"/>
        </w:rPr>
        <w:t xml:space="preserve"> agreement</w:t>
      </w:r>
      <w:r>
        <w:rPr>
          <w:lang w:val="en-GB"/>
        </w:rPr>
        <w:t>,</w:t>
      </w:r>
      <w:r w:rsidRPr="00502499">
        <w:rPr>
          <w:lang w:val="en-GB"/>
        </w:rPr>
        <w:t xml:space="preserve"> </w:t>
      </w:r>
      <w:r>
        <w:rPr>
          <w:lang w:val="en-GB"/>
        </w:rPr>
        <w:t xml:space="preserve">with </w:t>
      </w:r>
      <w:r w:rsidRPr="00502499">
        <w:rPr>
          <w:lang w:val="en-GB"/>
        </w:rPr>
        <w:t>fees set accordingly</w:t>
      </w:r>
      <w:r>
        <w:rPr>
          <w:lang w:val="en-GB"/>
        </w:rPr>
        <w:t xml:space="preserve"> for each service and not tied or bundled as outlined in the Conflicts of Interest Governance Criteria</w:t>
      </w:r>
      <w:r w:rsidRPr="00F304BC">
        <w:rPr>
          <w:rStyle w:val="normaltextrun"/>
          <w:rFonts w:ascii="Calibri" w:hAnsi="Calibri" w:cs="Calibri"/>
          <w:color w:val="000000"/>
        </w:rPr>
        <w:t xml:space="preserve"> </w:t>
      </w:r>
      <w:r w:rsidRPr="00906380">
        <w:rPr>
          <w:rStyle w:val="normaltextrun"/>
          <w:rFonts w:ascii="Calibri" w:hAnsi="Calibri" w:cs="Calibri"/>
          <w:color w:val="000000"/>
        </w:rPr>
        <w:t xml:space="preserve">described in </w:t>
      </w:r>
      <w:r w:rsidRPr="00922E89" w:rsidDel="00D00ECA">
        <w:rPr>
          <w:rStyle w:val="normaltextrun"/>
          <w:rFonts w:cstheme="minorHAnsi"/>
          <w:color w:val="000000"/>
        </w:rPr>
        <w:t>section</w:t>
      </w:r>
      <w:r w:rsidRPr="00906380">
        <w:rPr>
          <w:rStyle w:val="normaltextrun"/>
          <w:rFonts w:cstheme="minorHAnsi"/>
          <w:i/>
          <w:color w:val="000000"/>
        </w:rPr>
        <w:t xml:space="preserve"> </w:t>
      </w:r>
      <w:r w:rsidRPr="00906380">
        <w:rPr>
          <w:rStyle w:val="normaltextrun"/>
          <w:rFonts w:cstheme="minorHAnsi"/>
          <w:color w:val="000000"/>
        </w:rPr>
        <w:fldChar w:fldCharType="begin"/>
      </w:r>
      <w:r w:rsidRPr="00906380">
        <w:rPr>
          <w:rStyle w:val="normaltextrun"/>
          <w:rFonts w:cstheme="minorHAnsi"/>
          <w:color w:val="000000"/>
        </w:rPr>
        <w:instrText xml:space="preserve"> REF _Ref83379769 \r \h  \* MERGEFORMAT </w:instrText>
      </w:r>
      <w:r w:rsidRPr="00906380">
        <w:rPr>
          <w:rStyle w:val="normaltextrun"/>
          <w:rFonts w:cstheme="minorHAnsi"/>
          <w:color w:val="000000"/>
        </w:rPr>
      </w:r>
      <w:r w:rsidRPr="00906380">
        <w:rPr>
          <w:rStyle w:val="normaltextrun"/>
          <w:rFonts w:cstheme="minorHAnsi"/>
          <w:color w:val="000000"/>
        </w:rPr>
        <w:fldChar w:fldCharType="separate"/>
      </w:r>
      <w:r w:rsidRPr="00906380">
        <w:rPr>
          <w:rStyle w:val="normaltextrun"/>
          <w:rFonts w:cstheme="minorHAnsi"/>
          <w:color w:val="000000"/>
        </w:rPr>
        <w:t>3.2</w:t>
      </w:r>
      <w:r w:rsidRPr="00906380">
        <w:rPr>
          <w:rStyle w:val="normaltextrun"/>
          <w:rFonts w:cstheme="minorHAnsi"/>
          <w:color w:val="000000"/>
        </w:rPr>
        <w:fldChar w:fldCharType="end"/>
      </w:r>
      <w:r w:rsidRPr="00502499">
        <w:rPr>
          <w:lang w:val="en-GB"/>
        </w:rPr>
        <w:t xml:space="preserve"> .</w:t>
      </w:r>
      <w:r>
        <w:rPr>
          <w:lang w:val="en-GB"/>
        </w:rPr>
        <w:t xml:space="preserve"> </w:t>
      </w:r>
    </w:p>
    <w:p w14:paraId="04CF8045" w14:textId="77777777" w:rsidR="007625FD" w:rsidRDefault="007625FD" w:rsidP="007625FD">
      <w:pPr>
        <w:spacing w:after="120"/>
        <w:jc w:val="both"/>
        <w:rPr>
          <w:lang w:val="en-GB"/>
        </w:rPr>
      </w:pPr>
      <w:r w:rsidRPr="00906380">
        <w:lastRenderedPageBreak/>
        <w:t xml:space="preserve">The changes proposed by the DSB are largely structural and process-related for example, introducing the concept of pre-payment for certain </w:t>
      </w:r>
      <w:r w:rsidRPr="00906380" w:rsidDel="00D3207B">
        <w:t>User</w:t>
      </w:r>
      <w:r w:rsidRPr="00906380">
        <w:t xml:space="preserve"> Types as per </w:t>
      </w:r>
      <w:r w:rsidRPr="007C1ACE">
        <w:t xml:space="preserve">section </w:t>
      </w:r>
      <w:r w:rsidRPr="007C1ACE">
        <w:fldChar w:fldCharType="begin"/>
      </w:r>
      <w:r w:rsidRPr="007C1ACE">
        <w:instrText xml:space="preserve"> REF _Ref83897184 \r \h </w:instrText>
      </w:r>
      <w:r>
        <w:instrText xml:space="preserve"> \* MERGEFORMAT </w:instrText>
      </w:r>
      <w:r w:rsidRPr="007C1ACE">
        <w:fldChar w:fldCharType="separate"/>
      </w:r>
      <w:r w:rsidRPr="007C1ACE">
        <w:t>5.5</w:t>
      </w:r>
      <w:r w:rsidRPr="007C1ACE">
        <w:fldChar w:fldCharType="end"/>
      </w:r>
      <w:r w:rsidRPr="00906380">
        <w:t>.</w:t>
      </w:r>
      <w:r w:rsidRPr="00906380">
        <w:rPr>
          <w:b/>
        </w:rPr>
        <w:t xml:space="preserve"> </w:t>
      </w:r>
      <w:r w:rsidRPr="00906380">
        <w:t xml:space="preserve">They affect the way in which </w:t>
      </w:r>
      <w:proofErr w:type="gramStart"/>
      <w:r w:rsidRPr="00906380">
        <w:t>Users</w:t>
      </w:r>
      <w:proofErr w:type="gramEnd"/>
      <w:r w:rsidRPr="00906380">
        <w:t xml:space="preserve"> contract with the DSB and the way in which the resulting agreements are documented rather than impacting their legal rights and obligations.</w:t>
      </w:r>
      <w:r w:rsidRPr="00906380">
        <w:rPr>
          <w:lang w:val="en-GB"/>
        </w:rPr>
        <w:t xml:space="preserve"> As such, existing terms remain relevant unless stated otherwise in this paper.</w:t>
      </w:r>
    </w:p>
    <w:p w14:paraId="27788F1D" w14:textId="77777777" w:rsidR="007625FD" w:rsidRPr="009B7D1D" w:rsidRDefault="007625FD" w:rsidP="007625FD">
      <w:pPr>
        <w:spacing w:after="120"/>
        <w:jc w:val="both"/>
        <w:rPr>
          <w:lang w:val="en-GB"/>
        </w:rPr>
      </w:pPr>
      <w:r>
        <w:rPr>
          <w:lang w:val="en-GB"/>
        </w:rPr>
        <w:t>A</w:t>
      </w:r>
      <w:r w:rsidRPr="009B7D1D">
        <w:rPr>
          <w:lang w:val="en-GB"/>
        </w:rPr>
        <w:t xml:space="preserve"> new agreement structure is designed to meet the following objectives:</w:t>
      </w:r>
    </w:p>
    <w:p w14:paraId="57172047" w14:textId="77777777" w:rsidR="007625FD" w:rsidRPr="00EE720C" w:rsidRDefault="007625FD" w:rsidP="007625FD">
      <w:pPr>
        <w:pStyle w:val="ListParagraph"/>
        <w:numPr>
          <w:ilvl w:val="0"/>
          <w:numId w:val="17"/>
        </w:numPr>
        <w:autoSpaceDE/>
        <w:autoSpaceDN/>
        <w:adjustRightInd/>
        <w:spacing w:before="0" w:line="276" w:lineRule="auto"/>
        <w:ind w:left="709" w:right="0" w:hanging="425"/>
        <w:contextualSpacing/>
        <w:jc w:val="both"/>
        <w:rPr>
          <w:sz w:val="22"/>
          <w:szCs w:val="22"/>
        </w:rPr>
      </w:pPr>
      <w:r w:rsidRPr="00EE720C">
        <w:rPr>
          <w:sz w:val="22"/>
          <w:szCs w:val="22"/>
        </w:rPr>
        <w:t>Alignment with the aforementioned industry feedback, through retention of a common agreement</w:t>
      </w:r>
    </w:p>
    <w:p w14:paraId="2D3E2E58" w14:textId="0858DF2E" w:rsidR="007625FD" w:rsidRPr="00EE720C" w:rsidRDefault="007625FD" w:rsidP="007625FD">
      <w:pPr>
        <w:pStyle w:val="ListParagraph"/>
        <w:numPr>
          <w:ilvl w:val="0"/>
          <w:numId w:val="17"/>
        </w:numPr>
        <w:autoSpaceDE/>
        <w:autoSpaceDN/>
        <w:adjustRightInd/>
        <w:spacing w:before="0" w:line="276" w:lineRule="auto"/>
        <w:ind w:left="709" w:right="0" w:hanging="425"/>
        <w:contextualSpacing/>
        <w:jc w:val="both"/>
        <w:rPr>
          <w:sz w:val="22"/>
          <w:szCs w:val="22"/>
        </w:rPr>
      </w:pPr>
      <w:r w:rsidRPr="00EE720C">
        <w:rPr>
          <w:sz w:val="22"/>
          <w:szCs w:val="22"/>
        </w:rPr>
        <w:t xml:space="preserve">Consistency of terms applicable to the OTC ISIN and </w:t>
      </w:r>
      <w:r w:rsidR="00F07F21">
        <w:rPr>
          <w:sz w:val="22"/>
          <w:szCs w:val="22"/>
        </w:rPr>
        <w:t>UPI Service</w:t>
      </w:r>
      <w:r w:rsidRPr="00EE720C">
        <w:rPr>
          <w:sz w:val="22"/>
          <w:szCs w:val="22"/>
        </w:rPr>
        <w:t>s</w:t>
      </w:r>
    </w:p>
    <w:p w14:paraId="4584A4AF" w14:textId="77777777" w:rsidR="007625FD" w:rsidRPr="00EE720C" w:rsidRDefault="007625FD" w:rsidP="007625FD">
      <w:pPr>
        <w:pStyle w:val="ListParagraph"/>
        <w:numPr>
          <w:ilvl w:val="0"/>
          <w:numId w:val="17"/>
        </w:numPr>
        <w:autoSpaceDE/>
        <w:autoSpaceDN/>
        <w:adjustRightInd/>
        <w:spacing w:before="0" w:line="276" w:lineRule="auto"/>
        <w:ind w:left="709" w:right="0" w:hanging="425"/>
        <w:contextualSpacing/>
        <w:jc w:val="both"/>
        <w:rPr>
          <w:sz w:val="22"/>
          <w:szCs w:val="22"/>
        </w:rPr>
      </w:pPr>
      <w:r w:rsidRPr="00EE720C">
        <w:rPr>
          <w:sz w:val="22"/>
          <w:szCs w:val="22"/>
        </w:rPr>
        <w:t>Minimising the number of documents executed by Users (and maintained by the DSB)</w:t>
      </w:r>
    </w:p>
    <w:p w14:paraId="0CAEA8B1" w14:textId="77777777" w:rsidR="007625FD" w:rsidRPr="00EE720C" w:rsidRDefault="007625FD" w:rsidP="007625FD">
      <w:pPr>
        <w:pStyle w:val="ListParagraph"/>
        <w:numPr>
          <w:ilvl w:val="0"/>
          <w:numId w:val="17"/>
        </w:numPr>
        <w:autoSpaceDE/>
        <w:autoSpaceDN/>
        <w:adjustRightInd/>
        <w:spacing w:before="0" w:line="276" w:lineRule="auto"/>
        <w:ind w:left="709" w:right="0" w:hanging="425"/>
        <w:contextualSpacing/>
        <w:jc w:val="both"/>
        <w:rPr>
          <w:sz w:val="22"/>
          <w:szCs w:val="22"/>
        </w:rPr>
      </w:pPr>
      <w:r w:rsidRPr="00EE720C">
        <w:rPr>
          <w:sz w:val="22"/>
          <w:szCs w:val="22"/>
        </w:rPr>
        <w:t>Catering for a separate manual onboarding and contracting process (for OTC ISIN) and online onboarding and contracting process on COSP (for UPI)</w:t>
      </w:r>
    </w:p>
    <w:p w14:paraId="238A3CFC" w14:textId="77777777" w:rsidR="007625FD" w:rsidRPr="00EE720C" w:rsidRDefault="007625FD" w:rsidP="007625FD">
      <w:pPr>
        <w:pStyle w:val="ListParagraph"/>
        <w:numPr>
          <w:ilvl w:val="0"/>
          <w:numId w:val="17"/>
        </w:numPr>
        <w:autoSpaceDE/>
        <w:autoSpaceDN/>
        <w:adjustRightInd/>
        <w:spacing w:before="0" w:line="276" w:lineRule="auto"/>
        <w:ind w:left="709" w:right="0" w:hanging="425"/>
        <w:contextualSpacing/>
        <w:jc w:val="both"/>
        <w:rPr>
          <w:sz w:val="22"/>
          <w:szCs w:val="22"/>
        </w:rPr>
      </w:pPr>
      <w:r w:rsidRPr="00EE720C">
        <w:rPr>
          <w:sz w:val="22"/>
          <w:szCs w:val="22"/>
        </w:rPr>
        <w:t xml:space="preserve">Future-proofing the structure for the eventual transition of OTC ISIN Service to the COSP. </w:t>
      </w:r>
    </w:p>
    <w:p w14:paraId="0952493F" w14:textId="6B1EAE46" w:rsidR="007625FD" w:rsidRPr="00EE720C" w:rsidRDefault="007625FD" w:rsidP="007625FD">
      <w:pPr>
        <w:pStyle w:val="ListParagraph"/>
        <w:numPr>
          <w:ilvl w:val="0"/>
          <w:numId w:val="17"/>
        </w:numPr>
        <w:autoSpaceDE/>
        <w:autoSpaceDN/>
        <w:adjustRightInd/>
        <w:spacing w:before="0" w:line="276" w:lineRule="auto"/>
        <w:ind w:left="709" w:right="0" w:hanging="425"/>
        <w:contextualSpacing/>
        <w:jc w:val="both"/>
        <w:rPr>
          <w:sz w:val="22"/>
          <w:szCs w:val="22"/>
        </w:rPr>
      </w:pPr>
      <w:r w:rsidRPr="00EE720C">
        <w:rPr>
          <w:sz w:val="22"/>
          <w:szCs w:val="22"/>
        </w:rPr>
        <w:t xml:space="preserve">Continue to enable clients to </w:t>
      </w:r>
      <w:r w:rsidR="00FB037E">
        <w:rPr>
          <w:sz w:val="22"/>
          <w:szCs w:val="22"/>
        </w:rPr>
        <w:t xml:space="preserve">subscribe to multiple </w:t>
      </w:r>
      <w:r w:rsidR="00F07F21">
        <w:rPr>
          <w:sz w:val="22"/>
          <w:szCs w:val="22"/>
        </w:rPr>
        <w:t>S</w:t>
      </w:r>
      <w:r w:rsidR="00FB037E">
        <w:rPr>
          <w:sz w:val="22"/>
          <w:szCs w:val="22"/>
        </w:rPr>
        <w:t xml:space="preserve">ervice and </w:t>
      </w:r>
      <w:r w:rsidR="00F07F21">
        <w:rPr>
          <w:sz w:val="22"/>
          <w:szCs w:val="22"/>
        </w:rPr>
        <w:t>User Type</w:t>
      </w:r>
      <w:r w:rsidR="00FB037E">
        <w:rPr>
          <w:sz w:val="22"/>
          <w:szCs w:val="22"/>
        </w:rPr>
        <w:t xml:space="preserve"> combinations,</w:t>
      </w:r>
      <w:r w:rsidRPr="00EE720C">
        <w:rPr>
          <w:sz w:val="22"/>
          <w:szCs w:val="22"/>
        </w:rPr>
        <w:t xml:space="preserve"> should they wish to do so</w:t>
      </w:r>
    </w:p>
    <w:p w14:paraId="34D0A41E" w14:textId="77777777" w:rsidR="007625FD" w:rsidRPr="00EE720C" w:rsidRDefault="007625FD" w:rsidP="007625FD">
      <w:pPr>
        <w:pStyle w:val="ListParagraph"/>
        <w:numPr>
          <w:ilvl w:val="0"/>
          <w:numId w:val="17"/>
        </w:numPr>
        <w:autoSpaceDE/>
        <w:autoSpaceDN/>
        <w:adjustRightInd/>
        <w:spacing w:before="0" w:line="276" w:lineRule="auto"/>
        <w:ind w:left="709" w:right="0" w:hanging="425"/>
        <w:contextualSpacing/>
        <w:jc w:val="both"/>
        <w:rPr>
          <w:sz w:val="22"/>
          <w:szCs w:val="22"/>
        </w:rPr>
      </w:pPr>
      <w:r w:rsidRPr="00EE720C">
        <w:rPr>
          <w:sz w:val="22"/>
          <w:szCs w:val="22"/>
        </w:rPr>
        <w:t xml:space="preserve">Continue to support intermediaries that act on behalf of DSB End-Users  </w:t>
      </w:r>
    </w:p>
    <w:p w14:paraId="4334EF83" w14:textId="77777777" w:rsidR="007625FD" w:rsidRDefault="007625FD" w:rsidP="007625FD">
      <w:pPr>
        <w:spacing w:after="120"/>
        <w:jc w:val="both"/>
        <w:rPr>
          <w:lang w:val="en-GB"/>
        </w:rPr>
      </w:pPr>
    </w:p>
    <w:p w14:paraId="60D53B8C" w14:textId="77777777" w:rsidR="007625FD" w:rsidRPr="009B7D1D" w:rsidRDefault="007625FD" w:rsidP="007625FD">
      <w:pPr>
        <w:spacing w:after="120"/>
        <w:jc w:val="both"/>
        <w:rPr>
          <w:b/>
          <w:u w:val="single"/>
          <w:lang w:val="en-GB"/>
        </w:rPr>
      </w:pPr>
      <w:r w:rsidRPr="009B7D1D">
        <w:rPr>
          <w:b/>
          <w:u w:val="single"/>
          <w:lang w:val="en-GB"/>
        </w:rPr>
        <w:t>DSB Proposal:</w:t>
      </w:r>
    </w:p>
    <w:p w14:paraId="6F5A4438" w14:textId="77777777" w:rsidR="007625FD" w:rsidRDefault="007625FD" w:rsidP="007625FD">
      <w:pPr>
        <w:spacing w:after="120"/>
        <w:jc w:val="both"/>
        <w:rPr>
          <w:lang w:val="en-GB"/>
        </w:rPr>
      </w:pPr>
      <w:r w:rsidRPr="009B7D1D">
        <w:rPr>
          <w:lang w:val="en-GB"/>
        </w:rPr>
        <w:t xml:space="preserve">The DSB proposes the introduction of the concept of a “Subscription”, through which a </w:t>
      </w:r>
      <w:r>
        <w:rPr>
          <w:lang w:val="en-GB"/>
        </w:rPr>
        <w:t>User</w:t>
      </w:r>
      <w:r w:rsidRPr="009B7D1D">
        <w:rPr>
          <w:lang w:val="en-GB"/>
        </w:rPr>
        <w:t xml:space="preserve"> accesses a DSB Service by reference to both the </w:t>
      </w:r>
      <w:r>
        <w:rPr>
          <w:lang w:val="en-GB"/>
        </w:rPr>
        <w:t>S</w:t>
      </w:r>
      <w:r w:rsidRPr="009B7D1D">
        <w:rPr>
          <w:lang w:val="en-GB"/>
        </w:rPr>
        <w:t>ervice</w:t>
      </w:r>
      <w:r>
        <w:rPr>
          <w:lang w:val="en-GB"/>
        </w:rPr>
        <w:t xml:space="preserve"> T</w:t>
      </w:r>
      <w:r w:rsidRPr="009B7D1D">
        <w:rPr>
          <w:lang w:val="en-GB"/>
        </w:rPr>
        <w:t>ype (i.e., OTC ISIN and/or UPI) and any sub-categories</w:t>
      </w:r>
      <w:r>
        <w:rPr>
          <w:lang w:val="en-GB"/>
        </w:rPr>
        <w:t xml:space="preserve"> of </w:t>
      </w:r>
      <w:r w:rsidDel="00D3207B">
        <w:rPr>
          <w:lang w:val="en-GB"/>
        </w:rPr>
        <w:t>User</w:t>
      </w:r>
      <w:r>
        <w:rPr>
          <w:lang w:val="en-GB"/>
        </w:rPr>
        <w:t xml:space="preserve"> Type</w:t>
      </w:r>
      <w:r w:rsidRPr="009B7D1D">
        <w:rPr>
          <w:lang w:val="en-GB"/>
        </w:rPr>
        <w:t xml:space="preserve"> (e.g., Infrequent, Standard, Power Subscriptions).  A </w:t>
      </w:r>
      <w:r>
        <w:rPr>
          <w:lang w:val="en-GB"/>
        </w:rPr>
        <w:t>User</w:t>
      </w:r>
      <w:r w:rsidRPr="009B7D1D">
        <w:rPr>
          <w:lang w:val="en-GB"/>
        </w:rPr>
        <w:t xml:space="preserve"> can have multiple Subscriptions for the same or different services in </w:t>
      </w:r>
      <w:r>
        <w:rPr>
          <w:lang w:val="en-GB"/>
        </w:rPr>
        <w:t xml:space="preserve">certain </w:t>
      </w:r>
      <w:r w:rsidRPr="009B7D1D">
        <w:rPr>
          <w:lang w:val="en-GB"/>
        </w:rPr>
        <w:t>combination</w:t>
      </w:r>
      <w:r>
        <w:rPr>
          <w:lang w:val="en-GB"/>
        </w:rPr>
        <w:t>s</w:t>
      </w:r>
      <w:r w:rsidRPr="009B7D1D">
        <w:rPr>
          <w:lang w:val="en-GB"/>
        </w:rPr>
        <w:t xml:space="preserve">. </w:t>
      </w:r>
      <w:r>
        <w:rPr>
          <w:lang w:val="en-GB"/>
        </w:rPr>
        <w:t>It is proposed that there will be one Subscription Form for all User Types and services associated with the OTC ISIN Service, and a separate Subscription Form for all User Types and services associated with the</w:t>
      </w:r>
      <w:r w:rsidDel="008D1BFC">
        <w:rPr>
          <w:lang w:val="en-GB"/>
        </w:rPr>
        <w:t xml:space="preserve"> </w:t>
      </w:r>
      <w:r>
        <w:rPr>
          <w:lang w:val="en-GB"/>
        </w:rPr>
        <w:t>UPI Service.</w:t>
      </w:r>
    </w:p>
    <w:p w14:paraId="74F81ACA" w14:textId="57590A65" w:rsidR="007625FD" w:rsidRPr="00CA6DD2" w:rsidRDefault="007625FD" w:rsidP="007625FD">
      <w:pPr>
        <w:spacing w:after="120"/>
        <w:jc w:val="both"/>
        <w:rPr>
          <w:lang w:val="en-GB"/>
        </w:rPr>
      </w:pPr>
      <w:r w:rsidRPr="009B7D1D">
        <w:rPr>
          <w:lang w:val="en-GB"/>
        </w:rPr>
        <w:t>For example</w:t>
      </w:r>
      <w:r>
        <w:rPr>
          <w:lang w:val="en-GB"/>
        </w:rPr>
        <w:t xml:space="preserve">, a User could have the following </w:t>
      </w:r>
      <w:r w:rsidR="00822C53">
        <w:rPr>
          <w:lang w:val="en-GB"/>
        </w:rPr>
        <w:t>four</w:t>
      </w:r>
      <w:r>
        <w:rPr>
          <w:lang w:val="en-GB"/>
        </w:rPr>
        <w:t xml:space="preserve"> subscriptions with the DSB under two Subscription Forms:</w:t>
      </w:r>
    </w:p>
    <w:p w14:paraId="6D28C0B9" w14:textId="77777777" w:rsidR="007625FD" w:rsidRPr="00CA6DD2" w:rsidRDefault="007625FD" w:rsidP="007625FD">
      <w:pPr>
        <w:pStyle w:val="ListParagraph"/>
        <w:numPr>
          <w:ilvl w:val="0"/>
          <w:numId w:val="18"/>
        </w:numPr>
        <w:autoSpaceDE/>
        <w:autoSpaceDN/>
        <w:adjustRightInd/>
        <w:spacing w:before="0" w:after="120" w:line="259" w:lineRule="auto"/>
        <w:ind w:left="709" w:right="0"/>
        <w:contextualSpacing/>
        <w:jc w:val="both"/>
        <w:rPr>
          <w:sz w:val="22"/>
          <w:szCs w:val="22"/>
        </w:rPr>
      </w:pPr>
      <w:r w:rsidRPr="00CA6DD2">
        <w:rPr>
          <w:sz w:val="22"/>
          <w:szCs w:val="22"/>
        </w:rPr>
        <w:t>Subscription Form 1:</w:t>
      </w:r>
      <w:r w:rsidRPr="00CA6DD2">
        <w:rPr>
          <w:sz w:val="22"/>
          <w:szCs w:val="22"/>
        </w:rPr>
        <w:tab/>
      </w:r>
    </w:p>
    <w:p w14:paraId="4F767776" w14:textId="77777777" w:rsidR="007625FD" w:rsidRPr="00CA6DD2" w:rsidRDefault="007625FD" w:rsidP="007625FD">
      <w:pPr>
        <w:pStyle w:val="ListParagraph"/>
        <w:numPr>
          <w:ilvl w:val="2"/>
          <w:numId w:val="24"/>
        </w:numPr>
        <w:autoSpaceDE/>
        <w:autoSpaceDN/>
        <w:adjustRightInd/>
        <w:spacing w:before="0" w:after="120" w:line="259" w:lineRule="auto"/>
        <w:ind w:right="0"/>
        <w:contextualSpacing/>
        <w:jc w:val="both"/>
        <w:rPr>
          <w:sz w:val="22"/>
          <w:szCs w:val="22"/>
        </w:rPr>
      </w:pPr>
      <w:r w:rsidRPr="00CA6DD2">
        <w:rPr>
          <w:sz w:val="22"/>
          <w:szCs w:val="22"/>
        </w:rPr>
        <w:t xml:space="preserve">OTC ISIN Standard </w:t>
      </w:r>
      <w:r w:rsidRPr="00CA6DD2" w:rsidDel="00D3207B">
        <w:rPr>
          <w:sz w:val="22"/>
          <w:szCs w:val="22"/>
        </w:rPr>
        <w:t>User</w:t>
      </w:r>
      <w:r w:rsidRPr="00CA6DD2">
        <w:rPr>
          <w:sz w:val="22"/>
          <w:szCs w:val="22"/>
        </w:rPr>
        <w:t xml:space="preserve"> subscription </w:t>
      </w:r>
      <w:r w:rsidRPr="00CA6DD2">
        <w:rPr>
          <w:b/>
          <w:sz w:val="22"/>
          <w:szCs w:val="22"/>
        </w:rPr>
        <w:t>and</w:t>
      </w:r>
      <w:r w:rsidRPr="00CA6DD2">
        <w:rPr>
          <w:sz w:val="22"/>
          <w:szCs w:val="22"/>
        </w:rPr>
        <w:t xml:space="preserve"> </w:t>
      </w:r>
    </w:p>
    <w:p w14:paraId="0ED1C642" w14:textId="77777777" w:rsidR="007625FD" w:rsidRPr="00CA6DD2" w:rsidRDefault="007625FD" w:rsidP="007625FD">
      <w:pPr>
        <w:pStyle w:val="ListParagraph"/>
        <w:numPr>
          <w:ilvl w:val="2"/>
          <w:numId w:val="24"/>
        </w:numPr>
        <w:autoSpaceDE/>
        <w:autoSpaceDN/>
        <w:adjustRightInd/>
        <w:spacing w:before="0" w:after="120" w:line="259" w:lineRule="auto"/>
        <w:ind w:left="1100" w:right="0" w:hanging="357"/>
        <w:jc w:val="both"/>
        <w:rPr>
          <w:sz w:val="22"/>
          <w:szCs w:val="22"/>
        </w:rPr>
      </w:pPr>
      <w:r w:rsidRPr="00CA6DD2">
        <w:rPr>
          <w:sz w:val="22"/>
          <w:szCs w:val="22"/>
        </w:rPr>
        <w:t xml:space="preserve">OTC ISIN Search Only API subscription </w:t>
      </w:r>
      <w:r w:rsidRPr="00CA6DD2">
        <w:rPr>
          <w:b/>
          <w:sz w:val="22"/>
          <w:szCs w:val="22"/>
        </w:rPr>
        <w:t>and</w:t>
      </w:r>
    </w:p>
    <w:p w14:paraId="20AF8408" w14:textId="77777777" w:rsidR="007625FD" w:rsidRPr="00CA6DD2" w:rsidRDefault="007625FD" w:rsidP="007625FD">
      <w:pPr>
        <w:pStyle w:val="ListParagraph"/>
        <w:numPr>
          <w:ilvl w:val="0"/>
          <w:numId w:val="18"/>
        </w:numPr>
        <w:autoSpaceDE/>
        <w:autoSpaceDN/>
        <w:adjustRightInd/>
        <w:spacing w:before="0" w:after="120" w:line="259" w:lineRule="auto"/>
        <w:ind w:left="709" w:right="0"/>
        <w:contextualSpacing/>
        <w:jc w:val="both"/>
        <w:rPr>
          <w:sz w:val="22"/>
          <w:szCs w:val="22"/>
        </w:rPr>
      </w:pPr>
      <w:r w:rsidRPr="00CA6DD2">
        <w:rPr>
          <w:sz w:val="22"/>
          <w:szCs w:val="22"/>
        </w:rPr>
        <w:t>Subscription Form 2:</w:t>
      </w:r>
    </w:p>
    <w:p w14:paraId="0868E746" w14:textId="0DF0A594" w:rsidR="007625FD" w:rsidRPr="00CA6DD2" w:rsidRDefault="007625FD" w:rsidP="007625FD">
      <w:pPr>
        <w:pStyle w:val="ListParagraph"/>
        <w:numPr>
          <w:ilvl w:val="2"/>
          <w:numId w:val="24"/>
        </w:numPr>
        <w:autoSpaceDE/>
        <w:autoSpaceDN/>
        <w:adjustRightInd/>
        <w:spacing w:before="0" w:after="120" w:line="259" w:lineRule="auto"/>
        <w:ind w:right="0"/>
        <w:contextualSpacing/>
        <w:jc w:val="both"/>
        <w:rPr>
          <w:sz w:val="22"/>
          <w:szCs w:val="22"/>
        </w:rPr>
      </w:pPr>
      <w:r w:rsidRPr="00CA6DD2">
        <w:rPr>
          <w:sz w:val="22"/>
          <w:szCs w:val="22"/>
        </w:rPr>
        <w:t>UPI</w:t>
      </w:r>
      <w:r w:rsidR="00822C53" w:rsidRPr="00CA6DD2">
        <w:rPr>
          <w:sz w:val="22"/>
          <w:szCs w:val="22"/>
        </w:rPr>
        <w:t xml:space="preserve"> Infrequent </w:t>
      </w:r>
      <w:r w:rsidRPr="00CA6DD2" w:rsidDel="00D3207B">
        <w:rPr>
          <w:sz w:val="22"/>
          <w:szCs w:val="22"/>
        </w:rPr>
        <w:t>User</w:t>
      </w:r>
      <w:r w:rsidRPr="00CA6DD2">
        <w:rPr>
          <w:sz w:val="22"/>
          <w:szCs w:val="22"/>
        </w:rPr>
        <w:t xml:space="preserve"> subscription</w:t>
      </w:r>
      <w:r w:rsidR="00822C53" w:rsidRPr="00CA6DD2">
        <w:rPr>
          <w:sz w:val="22"/>
          <w:szCs w:val="22"/>
        </w:rPr>
        <w:t xml:space="preserve"> </w:t>
      </w:r>
      <w:r w:rsidR="00822C53" w:rsidRPr="00CA6DD2">
        <w:rPr>
          <w:b/>
          <w:bCs/>
          <w:sz w:val="22"/>
          <w:szCs w:val="22"/>
        </w:rPr>
        <w:t>and</w:t>
      </w:r>
    </w:p>
    <w:p w14:paraId="2C857DCA" w14:textId="640CCCEB" w:rsidR="00822C53" w:rsidRPr="00CA6DD2" w:rsidRDefault="00822C53" w:rsidP="00822C53">
      <w:pPr>
        <w:pStyle w:val="ListParagraph"/>
        <w:numPr>
          <w:ilvl w:val="2"/>
          <w:numId w:val="24"/>
        </w:numPr>
        <w:autoSpaceDE/>
        <w:autoSpaceDN/>
        <w:adjustRightInd/>
        <w:spacing w:before="0" w:after="120" w:line="259" w:lineRule="auto"/>
        <w:ind w:right="0"/>
        <w:contextualSpacing/>
        <w:jc w:val="both"/>
        <w:rPr>
          <w:sz w:val="22"/>
          <w:szCs w:val="22"/>
        </w:rPr>
      </w:pPr>
      <w:r w:rsidRPr="00CA6DD2">
        <w:rPr>
          <w:sz w:val="22"/>
          <w:szCs w:val="22"/>
        </w:rPr>
        <w:t>UPI S</w:t>
      </w:r>
      <w:r w:rsidR="00CC2B59">
        <w:rPr>
          <w:sz w:val="22"/>
          <w:szCs w:val="22"/>
        </w:rPr>
        <w:t xml:space="preserve">earch </w:t>
      </w:r>
      <w:r w:rsidR="00F94444">
        <w:rPr>
          <w:sz w:val="22"/>
          <w:szCs w:val="22"/>
        </w:rPr>
        <w:t>Only</w:t>
      </w:r>
      <w:r w:rsidRPr="00CA6DD2">
        <w:rPr>
          <w:sz w:val="22"/>
          <w:szCs w:val="22"/>
        </w:rPr>
        <w:t xml:space="preserve"> </w:t>
      </w:r>
      <w:r w:rsidRPr="00CA6DD2" w:rsidDel="00D3207B">
        <w:rPr>
          <w:sz w:val="22"/>
          <w:szCs w:val="22"/>
        </w:rPr>
        <w:t>User</w:t>
      </w:r>
      <w:r w:rsidRPr="00CA6DD2">
        <w:rPr>
          <w:sz w:val="22"/>
          <w:szCs w:val="22"/>
        </w:rPr>
        <w:t xml:space="preserve"> subscription</w:t>
      </w:r>
    </w:p>
    <w:p w14:paraId="3B7D1D08" w14:textId="77777777" w:rsidR="007625FD" w:rsidRPr="00CA6DD2" w:rsidRDefault="007625FD" w:rsidP="007625FD">
      <w:pPr>
        <w:spacing w:after="120"/>
        <w:jc w:val="both"/>
        <w:rPr>
          <w:lang w:val="en-GB"/>
        </w:rPr>
      </w:pPr>
      <w:r w:rsidRPr="00CA6DD2">
        <w:rPr>
          <w:lang w:val="en-GB"/>
        </w:rPr>
        <w:t>The DSB has considered three key options for an agreement structure catering for multiple Subscriptions:</w:t>
      </w:r>
    </w:p>
    <w:p w14:paraId="49CF8303" w14:textId="4E002519" w:rsidR="007625FD" w:rsidRPr="00CA6DD2" w:rsidRDefault="007625FD" w:rsidP="007625FD">
      <w:pPr>
        <w:pStyle w:val="ListParagraph"/>
        <w:numPr>
          <w:ilvl w:val="0"/>
          <w:numId w:val="19"/>
        </w:numPr>
        <w:autoSpaceDE/>
        <w:autoSpaceDN/>
        <w:adjustRightInd/>
        <w:spacing w:before="0" w:after="120" w:line="276" w:lineRule="auto"/>
        <w:ind w:left="360" w:right="0"/>
        <w:contextualSpacing/>
        <w:jc w:val="both"/>
        <w:rPr>
          <w:sz w:val="22"/>
          <w:szCs w:val="22"/>
        </w:rPr>
      </w:pPr>
      <w:r w:rsidRPr="00CA6DD2">
        <w:rPr>
          <w:b/>
          <w:sz w:val="22"/>
          <w:szCs w:val="22"/>
        </w:rPr>
        <w:t xml:space="preserve">One legal agreement between the </w:t>
      </w:r>
      <w:r w:rsidRPr="00CA6DD2" w:rsidDel="00D3207B">
        <w:rPr>
          <w:b/>
          <w:sz w:val="22"/>
          <w:szCs w:val="22"/>
        </w:rPr>
        <w:t>User</w:t>
      </w:r>
      <w:r w:rsidRPr="00CA6DD2">
        <w:rPr>
          <w:b/>
          <w:sz w:val="22"/>
          <w:szCs w:val="22"/>
        </w:rPr>
        <w:t xml:space="preserve"> and the DSB, including all Subscriptions for both OTC ISIN and UPI.</w:t>
      </w:r>
      <w:r w:rsidRPr="00CA6DD2">
        <w:rPr>
          <w:sz w:val="22"/>
          <w:szCs w:val="22"/>
        </w:rPr>
        <w:t xml:space="preserve"> This approach is a single master agreement with a schedule of services. For a User accessing both services, until there is convergence of the contracting processes for OTC ISIN (on the existing manual process) and COSP based contracting processes for UPI, this option is problematic. Processes would need to be in place to cross-check and update both sets of information each time the User </w:t>
      </w:r>
      <w:r w:rsidRPr="00CA6DD2">
        <w:rPr>
          <w:sz w:val="22"/>
          <w:szCs w:val="22"/>
        </w:rPr>
        <w:lastRenderedPageBreak/>
        <w:t xml:space="preserve">interacts with the DSB to make a change (e.g., changes of address). There is a risk of errors/inconsistencies between the information generated by each process (resulting in possible conflicts in the agreement itself) and defeats the efficiencies sought by the introduction by the new COSP process set out in section </w:t>
      </w:r>
      <w:r w:rsidRPr="00CA6DD2">
        <w:rPr>
          <w:sz w:val="22"/>
          <w:szCs w:val="22"/>
        </w:rPr>
        <w:fldChar w:fldCharType="begin"/>
      </w:r>
      <w:r w:rsidRPr="00CA6DD2">
        <w:rPr>
          <w:sz w:val="22"/>
          <w:szCs w:val="22"/>
        </w:rPr>
        <w:instrText xml:space="preserve"> REF _Ref84237555 \r \h </w:instrText>
      </w:r>
      <w:r w:rsidR="00CA6DD2">
        <w:rPr>
          <w:sz w:val="22"/>
          <w:szCs w:val="22"/>
        </w:rPr>
        <w:instrText xml:space="preserve"> \* MERGEFORMAT </w:instrText>
      </w:r>
      <w:r w:rsidRPr="00CA6DD2">
        <w:rPr>
          <w:sz w:val="22"/>
          <w:szCs w:val="22"/>
        </w:rPr>
      </w:r>
      <w:r w:rsidRPr="00CA6DD2">
        <w:rPr>
          <w:sz w:val="22"/>
          <w:szCs w:val="22"/>
        </w:rPr>
        <w:fldChar w:fldCharType="separate"/>
      </w:r>
      <w:r w:rsidRPr="00CA6DD2">
        <w:rPr>
          <w:sz w:val="22"/>
          <w:szCs w:val="22"/>
        </w:rPr>
        <w:t>5.1</w:t>
      </w:r>
      <w:r w:rsidRPr="00CA6DD2">
        <w:rPr>
          <w:sz w:val="22"/>
          <w:szCs w:val="22"/>
        </w:rPr>
        <w:fldChar w:fldCharType="end"/>
      </w:r>
      <w:r w:rsidRPr="00CA6DD2">
        <w:rPr>
          <w:sz w:val="22"/>
          <w:szCs w:val="22"/>
        </w:rPr>
        <w:t xml:space="preserve"> of this document. As such the DSB believes that this option should not be taken further. </w:t>
      </w:r>
    </w:p>
    <w:p w14:paraId="38E1F264" w14:textId="77777777" w:rsidR="007625FD" w:rsidRPr="00CA6DD2" w:rsidRDefault="007625FD" w:rsidP="007625FD">
      <w:pPr>
        <w:pStyle w:val="ListParagraph"/>
        <w:spacing w:after="120" w:line="276" w:lineRule="auto"/>
        <w:ind w:left="0"/>
        <w:jc w:val="both"/>
        <w:rPr>
          <w:sz w:val="22"/>
          <w:szCs w:val="22"/>
        </w:rPr>
      </w:pPr>
    </w:p>
    <w:p w14:paraId="4F1CBA2C" w14:textId="16360E97" w:rsidR="007625FD" w:rsidRPr="00CA6DD2" w:rsidRDefault="007625FD" w:rsidP="007625FD">
      <w:pPr>
        <w:pStyle w:val="ListParagraph"/>
        <w:numPr>
          <w:ilvl w:val="0"/>
          <w:numId w:val="19"/>
        </w:numPr>
        <w:autoSpaceDE/>
        <w:autoSpaceDN/>
        <w:adjustRightInd/>
        <w:spacing w:before="0" w:after="120" w:line="276" w:lineRule="auto"/>
        <w:ind w:left="360" w:right="0"/>
        <w:contextualSpacing/>
        <w:jc w:val="both"/>
        <w:rPr>
          <w:sz w:val="22"/>
          <w:szCs w:val="22"/>
        </w:rPr>
      </w:pPr>
      <w:r w:rsidRPr="00CA6DD2">
        <w:rPr>
          <w:b/>
          <w:sz w:val="22"/>
          <w:szCs w:val="22"/>
        </w:rPr>
        <w:t xml:space="preserve">Each Subscriptions for the OTC ISIN Service forms a single agreement (consisting of the Subscription details, and Main Terms and Policies </w:t>
      </w:r>
      <w:r w:rsidRPr="00CA6DD2">
        <w:rPr>
          <w:b/>
          <w:sz w:val="22"/>
          <w:szCs w:val="22"/>
          <w:u w:val="single"/>
        </w:rPr>
        <w:t>included</w:t>
      </w:r>
      <w:r w:rsidRPr="00CA6DD2">
        <w:rPr>
          <w:b/>
          <w:sz w:val="22"/>
          <w:szCs w:val="22"/>
        </w:rPr>
        <w:t xml:space="preserve"> in the agreement), and each Subscription for the UPI Service forms a separate agreement on the same basis.</w:t>
      </w:r>
      <w:r w:rsidRPr="00CA6DD2">
        <w:rPr>
          <w:sz w:val="22"/>
          <w:szCs w:val="22"/>
        </w:rPr>
        <w:t xml:space="preserve"> This option is included for completeness but there is no benefit from a legal perspective in having two agreements versus multiple agreements given the request to align the legal terms across both services as far as practicable. Also, this approach would not make practical sense if all services </w:t>
      </w:r>
      <w:r w:rsidR="001F151F" w:rsidRPr="00CA6DD2">
        <w:rPr>
          <w:sz w:val="22"/>
          <w:szCs w:val="22"/>
        </w:rPr>
        <w:t>were</w:t>
      </w:r>
      <w:r w:rsidRPr="00CA6DD2">
        <w:rPr>
          <w:sz w:val="22"/>
          <w:szCs w:val="22"/>
        </w:rPr>
        <w:t xml:space="preserve"> available via COSP in the future.  As such this option has been discounted. </w:t>
      </w:r>
    </w:p>
    <w:p w14:paraId="1C1F0DA4" w14:textId="77777777" w:rsidR="007625FD" w:rsidRPr="00CA6DD2" w:rsidRDefault="007625FD" w:rsidP="007625FD">
      <w:pPr>
        <w:pStyle w:val="ListParagraph"/>
        <w:rPr>
          <w:b/>
          <w:sz w:val="22"/>
          <w:szCs w:val="22"/>
        </w:rPr>
      </w:pPr>
    </w:p>
    <w:p w14:paraId="6E5B1661" w14:textId="6440B3B5" w:rsidR="007625FD" w:rsidRPr="00CA6DD2" w:rsidRDefault="007625FD" w:rsidP="007625FD">
      <w:pPr>
        <w:pStyle w:val="ListParagraph"/>
        <w:numPr>
          <w:ilvl w:val="0"/>
          <w:numId w:val="19"/>
        </w:numPr>
        <w:autoSpaceDE/>
        <w:autoSpaceDN/>
        <w:adjustRightInd/>
        <w:spacing w:before="0" w:after="120" w:line="276" w:lineRule="auto"/>
        <w:ind w:left="360" w:right="0"/>
        <w:contextualSpacing/>
        <w:jc w:val="both"/>
        <w:rPr>
          <w:sz w:val="22"/>
          <w:szCs w:val="22"/>
        </w:rPr>
      </w:pPr>
      <w:r w:rsidRPr="00CA6DD2">
        <w:rPr>
          <w:b/>
          <w:sz w:val="22"/>
          <w:szCs w:val="22"/>
        </w:rPr>
        <w:t xml:space="preserve">All Subscriptions for the OTC ISIN Service form one single short-form agreement (consisting of the Subscription details, and Main Terms and Policies </w:t>
      </w:r>
      <w:r w:rsidRPr="00CA6DD2">
        <w:rPr>
          <w:b/>
          <w:sz w:val="22"/>
          <w:szCs w:val="22"/>
          <w:u w:val="single"/>
        </w:rPr>
        <w:t>referenced</w:t>
      </w:r>
      <w:r w:rsidRPr="00CA6DD2">
        <w:rPr>
          <w:b/>
          <w:sz w:val="22"/>
          <w:szCs w:val="22"/>
        </w:rPr>
        <w:t xml:space="preserve"> in the agreement), and all Subscriptions for the UPI Service form a separate, single short-form agreement (on the same basis) </w:t>
      </w:r>
      <w:r w:rsidR="00500A2E" w:rsidRPr="00CA6DD2">
        <w:rPr>
          <w:b/>
          <w:sz w:val="22"/>
          <w:szCs w:val="22"/>
        </w:rPr>
        <w:t>i.e.,</w:t>
      </w:r>
      <w:r w:rsidRPr="00CA6DD2">
        <w:rPr>
          <w:b/>
          <w:sz w:val="22"/>
          <w:szCs w:val="22"/>
        </w:rPr>
        <w:t xml:space="preserve"> the User would have </w:t>
      </w:r>
      <w:r w:rsidRPr="00CA6DD2">
        <w:rPr>
          <w:rStyle w:val="normaltextrun"/>
          <w:rFonts w:cstheme="minorHAnsi"/>
          <w:b/>
          <w:color w:val="000000"/>
          <w:sz w:val="22"/>
          <w:szCs w:val="22"/>
        </w:rPr>
        <w:t xml:space="preserve">a single overarching Access and Usage Agreement executed between the User and the DSB, with two distinct components – one each for OTC ISIN and </w:t>
      </w:r>
      <w:r w:rsidR="00F07F21">
        <w:rPr>
          <w:rStyle w:val="normaltextrun"/>
          <w:rFonts w:cstheme="minorHAnsi"/>
          <w:b/>
          <w:color w:val="000000"/>
          <w:sz w:val="22"/>
          <w:szCs w:val="22"/>
        </w:rPr>
        <w:t>UPI Service</w:t>
      </w:r>
      <w:r w:rsidRPr="00CA6DD2">
        <w:rPr>
          <w:rStyle w:val="normaltextrun"/>
          <w:rFonts w:cstheme="minorHAnsi"/>
          <w:b/>
          <w:color w:val="000000"/>
          <w:sz w:val="22"/>
          <w:szCs w:val="22"/>
        </w:rPr>
        <w:t>s.</w:t>
      </w:r>
      <w:r w:rsidRPr="00CA6DD2">
        <w:rPr>
          <w:b/>
          <w:sz w:val="22"/>
          <w:szCs w:val="22"/>
        </w:rPr>
        <w:t xml:space="preserve"> </w:t>
      </w:r>
      <w:r w:rsidRPr="00CA6DD2">
        <w:rPr>
          <w:sz w:val="22"/>
          <w:szCs w:val="22"/>
        </w:rPr>
        <w:t xml:space="preserve">This is the simplest option to document and efficiently support from a DSB perspective. The proposal seeks to concurrently utilize manual and COSP based contracting processes and aims to support transition to a single </w:t>
      </w:r>
      <w:proofErr w:type="gramStart"/>
      <w:r w:rsidRPr="00CA6DD2">
        <w:rPr>
          <w:sz w:val="22"/>
          <w:szCs w:val="22"/>
        </w:rPr>
        <w:t>self-service based</w:t>
      </w:r>
      <w:proofErr w:type="gramEnd"/>
      <w:r w:rsidRPr="00CA6DD2">
        <w:rPr>
          <w:sz w:val="22"/>
          <w:szCs w:val="22"/>
        </w:rPr>
        <w:t xml:space="preserve"> support platform, </w:t>
      </w:r>
      <w:r w:rsidR="00913DB0" w:rsidRPr="00CA6DD2">
        <w:rPr>
          <w:sz w:val="22"/>
          <w:szCs w:val="22"/>
        </w:rPr>
        <w:t>if</w:t>
      </w:r>
      <w:r w:rsidRPr="00CA6DD2">
        <w:rPr>
          <w:sz w:val="22"/>
          <w:szCs w:val="22"/>
        </w:rPr>
        <w:t xml:space="preserve"> the OTC ISIN Service is moved to the COSP in the future.  It also aligns with the contracting approach of most platform operators and will be familiar to Users and other industry participants. The Main Terms and Policies would remain common across all </w:t>
      </w:r>
      <w:r w:rsidR="001F151F" w:rsidRPr="00CA6DD2">
        <w:rPr>
          <w:sz w:val="22"/>
          <w:szCs w:val="22"/>
        </w:rPr>
        <w:t>Subscriptions and</w:t>
      </w:r>
      <w:r w:rsidRPr="00CA6DD2">
        <w:rPr>
          <w:rStyle w:val="normaltextrun"/>
          <w:rFonts w:cstheme="minorHAnsi"/>
          <w:color w:val="000000"/>
          <w:sz w:val="22"/>
          <w:szCs w:val="22"/>
        </w:rPr>
        <w:t xml:space="preserve"> contain cross-subscription provisions</w:t>
      </w:r>
      <w:r w:rsidRPr="00CA6DD2">
        <w:rPr>
          <w:sz w:val="22"/>
          <w:szCs w:val="22"/>
        </w:rPr>
        <w:t>. This is the DSB’s preferred option and proposed approach.</w:t>
      </w:r>
    </w:p>
    <w:p w14:paraId="37768438" w14:textId="77777777" w:rsidR="007625FD" w:rsidRPr="00103EF7" w:rsidRDefault="007625FD" w:rsidP="007625FD">
      <w:pPr>
        <w:spacing w:after="120"/>
        <w:jc w:val="both"/>
        <w:rPr>
          <w:b/>
          <w:lang w:val="en-GB"/>
        </w:rPr>
      </w:pPr>
      <w:r w:rsidRPr="00103EF7">
        <w:rPr>
          <w:b/>
          <w:lang w:val="en-GB"/>
        </w:rPr>
        <w:t xml:space="preserve">For the preferred Option 3 above, the </w:t>
      </w:r>
      <w:r w:rsidRPr="00103EF7">
        <w:rPr>
          <w:b/>
          <w:bCs/>
          <w:lang w:val="en-GB"/>
        </w:rPr>
        <w:t xml:space="preserve">intended </w:t>
      </w:r>
      <w:r w:rsidRPr="00103EF7">
        <w:rPr>
          <w:b/>
          <w:lang w:val="en-GB"/>
        </w:rPr>
        <w:t xml:space="preserve">document structure is as follows </w:t>
      </w:r>
      <w:r w:rsidRPr="00103EF7">
        <w:rPr>
          <w:lang w:val="en-GB"/>
        </w:rPr>
        <w:t>(illustrated in the diagram below the summary):</w:t>
      </w:r>
    </w:p>
    <w:p w14:paraId="58BB3148" w14:textId="252FAC11" w:rsidR="007625FD" w:rsidRPr="00ED3A0D" w:rsidRDefault="007625FD" w:rsidP="007625FD">
      <w:pPr>
        <w:spacing w:after="120"/>
        <w:jc w:val="both"/>
        <w:rPr>
          <w:rFonts w:cstheme="minorHAnsi"/>
        </w:rPr>
      </w:pPr>
      <w:r w:rsidRPr="00103EF7">
        <w:rPr>
          <w:rStyle w:val="Heading4Char"/>
        </w:rPr>
        <w:t>DSB Access and Usage Agreement</w:t>
      </w:r>
      <w:r w:rsidRPr="00103EF7">
        <w:rPr>
          <w:rStyle w:val="FootnoteReference"/>
          <w:rFonts w:asciiTheme="majorHAnsi" w:eastAsiaTheme="majorEastAsia" w:hAnsiTheme="majorHAnsi" w:cstheme="majorBidi"/>
          <w:i/>
          <w:iCs/>
          <w:color w:val="365F91" w:themeColor="accent1" w:themeShade="BF"/>
          <w:lang w:val="en-GB"/>
        </w:rPr>
        <w:footnoteReference w:id="48"/>
      </w:r>
      <w:r w:rsidRPr="00103EF7">
        <w:rPr>
          <w:rStyle w:val="Heading4Char"/>
        </w:rPr>
        <w:t xml:space="preserve"> (i.e., Main Terms).</w:t>
      </w:r>
      <w:r w:rsidRPr="00103EF7">
        <w:t xml:space="preserve"> Currently the full set of Main Terms forms part of the document executed by the User and the DSB. These would instead be incorporated into the agreement </w:t>
      </w:r>
      <w:r w:rsidRPr="00103EF7">
        <w:rPr>
          <w:u w:val="single"/>
        </w:rPr>
        <w:t>by reference</w:t>
      </w:r>
      <w:r w:rsidRPr="00103EF7">
        <w:t xml:space="preserve"> (see the Subscription Form section below), which will streamline the documents presented to the User on execution.    </w:t>
      </w:r>
    </w:p>
    <w:p w14:paraId="205E884D" w14:textId="77777777" w:rsidR="007625FD" w:rsidRPr="00ED3A0D" w:rsidRDefault="007625FD" w:rsidP="007625FD">
      <w:pPr>
        <w:pStyle w:val="ListParagraph"/>
        <w:numPr>
          <w:ilvl w:val="1"/>
          <w:numId w:val="20"/>
        </w:numPr>
        <w:autoSpaceDE/>
        <w:autoSpaceDN/>
        <w:adjustRightInd/>
        <w:spacing w:before="0" w:after="120" w:line="276" w:lineRule="auto"/>
        <w:ind w:left="720" w:right="0"/>
        <w:contextualSpacing/>
        <w:jc w:val="both"/>
        <w:rPr>
          <w:rFonts w:asciiTheme="minorHAnsi" w:hAnsiTheme="minorHAnsi" w:cstheme="minorHAnsi"/>
          <w:sz w:val="22"/>
          <w:szCs w:val="22"/>
        </w:rPr>
      </w:pPr>
      <w:r w:rsidRPr="00ED3A0D">
        <w:rPr>
          <w:rFonts w:asciiTheme="minorHAnsi" w:hAnsiTheme="minorHAnsi" w:cstheme="minorHAnsi"/>
          <w:sz w:val="22"/>
          <w:szCs w:val="22"/>
        </w:rPr>
        <w:t>The Main Terms will be service-neutral. As mentioned above, the proposal introduces the concept of a “Subscription”.</w:t>
      </w:r>
    </w:p>
    <w:p w14:paraId="659FB016" w14:textId="77777777" w:rsidR="007625FD" w:rsidRPr="00ED3A0D" w:rsidRDefault="007625FD" w:rsidP="007625FD">
      <w:pPr>
        <w:pStyle w:val="ListParagraph"/>
        <w:numPr>
          <w:ilvl w:val="1"/>
          <w:numId w:val="20"/>
        </w:numPr>
        <w:autoSpaceDE/>
        <w:autoSpaceDN/>
        <w:adjustRightInd/>
        <w:spacing w:before="0" w:after="120" w:line="276" w:lineRule="auto"/>
        <w:ind w:left="720" w:right="0"/>
        <w:contextualSpacing/>
        <w:jc w:val="both"/>
        <w:rPr>
          <w:rFonts w:asciiTheme="minorHAnsi" w:hAnsiTheme="minorHAnsi" w:cstheme="minorHAnsi"/>
          <w:sz w:val="22"/>
          <w:szCs w:val="22"/>
        </w:rPr>
      </w:pPr>
      <w:r w:rsidRPr="00ED3A0D">
        <w:rPr>
          <w:rFonts w:asciiTheme="minorHAnsi" w:hAnsiTheme="minorHAnsi" w:cstheme="minorHAnsi"/>
          <w:sz w:val="22"/>
          <w:szCs w:val="22"/>
        </w:rPr>
        <w:t>Any terms which are specific to the OTC ISIN Service would be moved to the relevant Policy and replaced in the Main Terms with a service-neutral reference to the Policy (including where the UPI Service may have different renewal options, payment terms and on-boarding processes).</w:t>
      </w:r>
    </w:p>
    <w:p w14:paraId="3A332C16" w14:textId="77777777" w:rsidR="007625FD" w:rsidRPr="00ED3A0D" w:rsidRDefault="007625FD" w:rsidP="007625FD">
      <w:pPr>
        <w:pStyle w:val="ListParagraph"/>
        <w:numPr>
          <w:ilvl w:val="1"/>
          <w:numId w:val="20"/>
        </w:numPr>
        <w:autoSpaceDE/>
        <w:autoSpaceDN/>
        <w:adjustRightInd/>
        <w:spacing w:before="0" w:after="120" w:line="276" w:lineRule="auto"/>
        <w:ind w:left="720" w:right="0"/>
        <w:contextualSpacing/>
        <w:jc w:val="both"/>
        <w:rPr>
          <w:rFonts w:asciiTheme="minorHAnsi" w:hAnsiTheme="minorHAnsi" w:cstheme="minorHAnsi"/>
          <w:sz w:val="22"/>
          <w:szCs w:val="22"/>
        </w:rPr>
      </w:pPr>
      <w:r w:rsidRPr="00ED3A0D">
        <w:rPr>
          <w:rFonts w:asciiTheme="minorHAnsi" w:hAnsiTheme="minorHAnsi" w:cstheme="minorHAnsi"/>
          <w:sz w:val="22"/>
          <w:szCs w:val="22"/>
        </w:rPr>
        <w:lastRenderedPageBreak/>
        <w:t xml:space="preserve">The User specific details currently indicated in the Main Terms and the execution blocks would be included on the Subscription Form instead. </w:t>
      </w:r>
    </w:p>
    <w:p w14:paraId="582F17A4" w14:textId="1EEA7463" w:rsidR="007625FD" w:rsidRPr="00ED3A0D" w:rsidRDefault="007625FD" w:rsidP="007625FD">
      <w:pPr>
        <w:pStyle w:val="ListParagraph"/>
        <w:numPr>
          <w:ilvl w:val="1"/>
          <w:numId w:val="20"/>
        </w:numPr>
        <w:autoSpaceDE/>
        <w:autoSpaceDN/>
        <w:adjustRightInd/>
        <w:spacing w:before="0" w:after="120" w:line="276" w:lineRule="auto"/>
        <w:ind w:left="720" w:right="0"/>
        <w:contextualSpacing/>
        <w:jc w:val="both"/>
        <w:rPr>
          <w:rFonts w:asciiTheme="minorHAnsi" w:hAnsiTheme="minorHAnsi" w:cstheme="minorHAnsi"/>
          <w:sz w:val="22"/>
          <w:szCs w:val="22"/>
        </w:rPr>
      </w:pPr>
      <w:r w:rsidRPr="00ED3A0D">
        <w:rPr>
          <w:rFonts w:asciiTheme="minorHAnsi" w:hAnsiTheme="minorHAnsi" w:cstheme="minorHAnsi"/>
          <w:sz w:val="22"/>
          <w:szCs w:val="22"/>
        </w:rPr>
        <w:t xml:space="preserve">The Main Terms would be available on the DSB website as they are currently. Amendments to the Main Terms would be done by a Variation Notice whereby the DSB in accordance with </w:t>
      </w:r>
      <w:r w:rsidRPr="00ED3A0D" w:rsidDel="008639E8">
        <w:rPr>
          <w:rFonts w:asciiTheme="minorHAnsi" w:hAnsiTheme="minorHAnsi" w:cstheme="minorHAnsi"/>
          <w:sz w:val="22"/>
          <w:szCs w:val="22"/>
        </w:rPr>
        <w:t xml:space="preserve">clause 1.2 </w:t>
      </w:r>
      <w:r w:rsidRPr="00ED3A0D">
        <w:rPr>
          <w:rFonts w:asciiTheme="minorHAnsi" w:hAnsiTheme="minorHAnsi" w:cstheme="minorHAnsi"/>
          <w:sz w:val="22"/>
          <w:szCs w:val="22"/>
        </w:rPr>
        <w:t>of the existing Main Terms</w:t>
      </w:r>
      <w:r w:rsidRPr="00ED3A0D" w:rsidDel="008639E8">
        <w:rPr>
          <w:rFonts w:asciiTheme="minorHAnsi" w:hAnsiTheme="minorHAnsi" w:cstheme="minorHAnsi"/>
          <w:sz w:val="22"/>
          <w:szCs w:val="22"/>
        </w:rPr>
        <w:t xml:space="preserve"> </w:t>
      </w:r>
      <w:r w:rsidRPr="00ED3A0D">
        <w:rPr>
          <w:rFonts w:asciiTheme="minorHAnsi" w:hAnsiTheme="minorHAnsi" w:cstheme="minorHAnsi"/>
          <w:sz w:val="22"/>
          <w:szCs w:val="22"/>
        </w:rPr>
        <w:t xml:space="preserve">gives ninety (90) days’ </w:t>
      </w:r>
      <w:proofErr w:type="gramStart"/>
      <w:r w:rsidRPr="00ED3A0D">
        <w:rPr>
          <w:rFonts w:asciiTheme="minorHAnsi" w:hAnsiTheme="minorHAnsi" w:cstheme="minorHAnsi"/>
          <w:sz w:val="22"/>
          <w:szCs w:val="22"/>
        </w:rPr>
        <w:t>notice</w:t>
      </w:r>
      <w:proofErr w:type="gramEnd"/>
      <w:r w:rsidRPr="00ED3A0D">
        <w:rPr>
          <w:rFonts w:asciiTheme="minorHAnsi" w:hAnsiTheme="minorHAnsi" w:cstheme="minorHAnsi"/>
          <w:sz w:val="22"/>
          <w:szCs w:val="22"/>
        </w:rPr>
        <w:t xml:space="preserve"> in writing to the </w:t>
      </w:r>
      <w:r w:rsidRPr="00ED3A0D" w:rsidDel="00D3207B">
        <w:rPr>
          <w:rFonts w:asciiTheme="minorHAnsi" w:hAnsiTheme="minorHAnsi" w:cstheme="minorHAnsi"/>
          <w:sz w:val="22"/>
          <w:szCs w:val="22"/>
        </w:rPr>
        <w:t>User</w:t>
      </w:r>
      <w:r w:rsidRPr="00ED3A0D">
        <w:rPr>
          <w:rFonts w:asciiTheme="minorHAnsi" w:hAnsiTheme="minorHAnsi" w:cstheme="minorHAnsi"/>
          <w:sz w:val="22"/>
          <w:szCs w:val="22"/>
        </w:rPr>
        <w:t xml:space="preserve"> at any time provided that the same or equivalent amendments are also made to all other agreements governing access to, and use of, the DSB Service. This approach is to ensure a common agreement is maintained and is generally undertaken only after industry consultation</w:t>
      </w:r>
      <w:r w:rsidR="00FA2DCC">
        <w:rPr>
          <w:rFonts w:asciiTheme="minorHAnsi" w:hAnsiTheme="minorHAnsi" w:cstheme="minorHAnsi"/>
          <w:sz w:val="22"/>
          <w:szCs w:val="22"/>
        </w:rPr>
        <w:t xml:space="preserve"> </w:t>
      </w:r>
      <w:r w:rsidR="005635F8">
        <w:rPr>
          <w:rFonts w:asciiTheme="minorHAnsi" w:hAnsiTheme="minorHAnsi" w:cstheme="minorHAnsi"/>
          <w:sz w:val="22"/>
          <w:szCs w:val="22"/>
        </w:rPr>
        <w:t xml:space="preserve">or </w:t>
      </w:r>
      <w:r w:rsidR="005635F8" w:rsidRPr="005635F8">
        <w:rPr>
          <w:rFonts w:asciiTheme="minorHAnsi" w:hAnsiTheme="minorHAnsi" w:cstheme="minorHAnsi"/>
          <w:sz w:val="22"/>
          <w:szCs w:val="22"/>
        </w:rPr>
        <w:t>where in the DSB’s reasonable opinion the safety or sustainability of the Service is in doubt</w:t>
      </w:r>
      <w:r w:rsidRPr="00ED3A0D">
        <w:rPr>
          <w:rFonts w:asciiTheme="minorHAnsi" w:hAnsiTheme="minorHAnsi" w:cstheme="minorHAnsi"/>
          <w:sz w:val="22"/>
          <w:szCs w:val="22"/>
        </w:rPr>
        <w:t>.</w:t>
      </w:r>
    </w:p>
    <w:p w14:paraId="21AACBA4" w14:textId="77777777" w:rsidR="007625FD" w:rsidRPr="00ED3A0D" w:rsidRDefault="007625FD" w:rsidP="007625FD">
      <w:pPr>
        <w:pStyle w:val="ListParagraph"/>
        <w:spacing w:after="120" w:line="276" w:lineRule="auto"/>
        <w:ind w:left="360"/>
        <w:jc w:val="both"/>
        <w:rPr>
          <w:rFonts w:asciiTheme="minorHAnsi" w:hAnsiTheme="minorHAnsi" w:cstheme="minorHAnsi"/>
          <w:sz w:val="22"/>
          <w:szCs w:val="22"/>
        </w:rPr>
      </w:pPr>
    </w:p>
    <w:p w14:paraId="30531CFC" w14:textId="77777777" w:rsidR="007625FD" w:rsidRPr="00B55524" w:rsidRDefault="007625FD" w:rsidP="007625FD">
      <w:pPr>
        <w:spacing w:after="120"/>
        <w:jc w:val="both"/>
        <w:rPr>
          <w:rFonts w:cstheme="minorHAnsi"/>
        </w:rPr>
      </w:pPr>
      <w:r w:rsidRPr="00ED3A0D">
        <w:rPr>
          <w:rStyle w:val="Heading4Char"/>
          <w:rFonts w:asciiTheme="minorHAnsi" w:hAnsiTheme="minorHAnsi" w:cstheme="minorHAnsi"/>
        </w:rPr>
        <w:t>Policies:</w:t>
      </w:r>
      <w:r w:rsidRPr="00ED3A0D">
        <w:rPr>
          <w:rFonts w:cstheme="minorHAnsi"/>
        </w:rPr>
        <w:t xml:space="preserve"> Accompanying Policies would be incorporated into the agreement by reference in both the Main Terms and on</w:t>
      </w:r>
      <w:r w:rsidRPr="00EE174A">
        <w:rPr>
          <w:rFonts w:cstheme="minorHAnsi"/>
        </w:rPr>
        <w:t xml:space="preserve"> Subscription Forms. As an example, the following Policies are currently incorporated into the Main Terms of the existing DSB services: </w:t>
      </w:r>
    </w:p>
    <w:p w14:paraId="7F8BB12E" w14:textId="77777777" w:rsidR="007625FD" w:rsidRPr="00ED3A0D" w:rsidRDefault="007625FD" w:rsidP="007625FD">
      <w:pPr>
        <w:pStyle w:val="ListParagraph"/>
        <w:numPr>
          <w:ilvl w:val="0"/>
          <w:numId w:val="25"/>
        </w:numPr>
        <w:autoSpaceDE/>
        <w:autoSpaceDN/>
        <w:adjustRightInd/>
        <w:spacing w:before="0" w:after="120" w:line="276" w:lineRule="auto"/>
        <w:ind w:right="0"/>
        <w:contextualSpacing/>
        <w:jc w:val="both"/>
        <w:rPr>
          <w:rFonts w:asciiTheme="minorHAnsi" w:hAnsiTheme="minorHAnsi" w:cstheme="minorHAnsi"/>
          <w:sz w:val="22"/>
          <w:szCs w:val="22"/>
        </w:rPr>
      </w:pPr>
      <w:r w:rsidRPr="00ED3A0D">
        <w:rPr>
          <w:rFonts w:asciiTheme="minorHAnsi" w:hAnsiTheme="minorHAnsi" w:cstheme="minorHAnsi"/>
          <w:sz w:val="22"/>
          <w:szCs w:val="22"/>
        </w:rPr>
        <w:t>DSB Acceptable Use Policy</w:t>
      </w:r>
    </w:p>
    <w:p w14:paraId="2D193669" w14:textId="77777777" w:rsidR="007625FD" w:rsidRPr="00ED3A0D" w:rsidRDefault="007625FD" w:rsidP="007625FD">
      <w:pPr>
        <w:pStyle w:val="ListParagraph"/>
        <w:numPr>
          <w:ilvl w:val="0"/>
          <w:numId w:val="25"/>
        </w:numPr>
        <w:autoSpaceDE/>
        <w:autoSpaceDN/>
        <w:adjustRightInd/>
        <w:spacing w:before="0" w:after="120" w:line="276" w:lineRule="auto"/>
        <w:ind w:right="0"/>
        <w:contextualSpacing/>
        <w:jc w:val="both"/>
        <w:rPr>
          <w:rFonts w:asciiTheme="minorHAnsi" w:hAnsiTheme="minorHAnsi" w:cstheme="minorHAnsi"/>
          <w:sz w:val="22"/>
          <w:szCs w:val="22"/>
        </w:rPr>
      </w:pPr>
      <w:r w:rsidRPr="00ED3A0D">
        <w:rPr>
          <w:rFonts w:asciiTheme="minorHAnsi" w:hAnsiTheme="minorHAnsi" w:cstheme="minorHAnsi"/>
          <w:sz w:val="22"/>
          <w:szCs w:val="22"/>
        </w:rPr>
        <w:t>DSB Business Continuity Policy</w:t>
      </w:r>
    </w:p>
    <w:p w14:paraId="3B4927FF" w14:textId="77777777" w:rsidR="007625FD" w:rsidRPr="00ED3A0D" w:rsidRDefault="007625FD" w:rsidP="007625FD">
      <w:pPr>
        <w:pStyle w:val="ListParagraph"/>
        <w:numPr>
          <w:ilvl w:val="0"/>
          <w:numId w:val="25"/>
        </w:numPr>
        <w:autoSpaceDE/>
        <w:autoSpaceDN/>
        <w:adjustRightInd/>
        <w:spacing w:before="0" w:after="120" w:line="276" w:lineRule="auto"/>
        <w:ind w:right="0"/>
        <w:contextualSpacing/>
        <w:jc w:val="both"/>
        <w:rPr>
          <w:rFonts w:asciiTheme="minorHAnsi" w:hAnsiTheme="minorHAnsi" w:cstheme="minorHAnsi"/>
          <w:sz w:val="22"/>
          <w:szCs w:val="22"/>
        </w:rPr>
      </w:pPr>
      <w:r w:rsidRPr="00ED3A0D">
        <w:rPr>
          <w:rFonts w:asciiTheme="minorHAnsi" w:hAnsiTheme="minorHAnsi" w:cstheme="minorHAnsi"/>
          <w:sz w:val="22"/>
          <w:szCs w:val="22"/>
        </w:rPr>
        <w:t xml:space="preserve">DSB Charges Policy </w:t>
      </w:r>
    </w:p>
    <w:p w14:paraId="009030EA" w14:textId="77777777" w:rsidR="007625FD" w:rsidRPr="00ED3A0D" w:rsidRDefault="007625FD" w:rsidP="007625FD">
      <w:pPr>
        <w:pStyle w:val="ListParagraph"/>
        <w:numPr>
          <w:ilvl w:val="0"/>
          <w:numId w:val="25"/>
        </w:numPr>
        <w:autoSpaceDE/>
        <w:autoSpaceDN/>
        <w:adjustRightInd/>
        <w:spacing w:before="0" w:after="120" w:line="276" w:lineRule="auto"/>
        <w:ind w:right="0"/>
        <w:contextualSpacing/>
        <w:jc w:val="both"/>
        <w:rPr>
          <w:rFonts w:asciiTheme="minorHAnsi" w:hAnsiTheme="minorHAnsi" w:cstheme="minorHAnsi"/>
          <w:sz w:val="22"/>
          <w:szCs w:val="22"/>
        </w:rPr>
      </w:pPr>
      <w:r w:rsidRPr="00ED3A0D">
        <w:rPr>
          <w:rFonts w:asciiTheme="minorHAnsi" w:hAnsiTheme="minorHAnsi" w:cstheme="minorHAnsi"/>
          <w:sz w:val="22"/>
          <w:szCs w:val="22"/>
        </w:rPr>
        <w:t>DSB Connectivity Policy</w:t>
      </w:r>
    </w:p>
    <w:p w14:paraId="36B13B3A" w14:textId="77777777" w:rsidR="007625FD" w:rsidRPr="00ED3A0D" w:rsidRDefault="007625FD" w:rsidP="007625FD">
      <w:pPr>
        <w:pStyle w:val="ListParagraph"/>
        <w:numPr>
          <w:ilvl w:val="0"/>
          <w:numId w:val="25"/>
        </w:numPr>
        <w:autoSpaceDE/>
        <w:autoSpaceDN/>
        <w:adjustRightInd/>
        <w:spacing w:before="0" w:after="120" w:line="276" w:lineRule="auto"/>
        <w:ind w:right="0"/>
        <w:contextualSpacing/>
        <w:jc w:val="both"/>
        <w:rPr>
          <w:rFonts w:asciiTheme="minorHAnsi" w:hAnsiTheme="minorHAnsi" w:cstheme="minorHAnsi"/>
          <w:sz w:val="22"/>
          <w:szCs w:val="22"/>
        </w:rPr>
      </w:pPr>
      <w:r w:rsidRPr="00ED3A0D">
        <w:rPr>
          <w:rFonts w:asciiTheme="minorHAnsi" w:hAnsiTheme="minorHAnsi" w:cstheme="minorHAnsi"/>
          <w:sz w:val="22"/>
          <w:szCs w:val="22"/>
        </w:rPr>
        <w:t>DSB Governance Policy</w:t>
      </w:r>
    </w:p>
    <w:p w14:paraId="4839FF15" w14:textId="77777777" w:rsidR="007625FD" w:rsidRPr="00ED3A0D" w:rsidRDefault="007625FD" w:rsidP="007625FD">
      <w:pPr>
        <w:pStyle w:val="ListParagraph"/>
        <w:numPr>
          <w:ilvl w:val="0"/>
          <w:numId w:val="25"/>
        </w:numPr>
        <w:autoSpaceDE/>
        <w:autoSpaceDN/>
        <w:adjustRightInd/>
        <w:spacing w:before="0" w:after="120" w:line="276" w:lineRule="auto"/>
        <w:ind w:right="0"/>
        <w:contextualSpacing/>
        <w:jc w:val="both"/>
        <w:rPr>
          <w:rFonts w:asciiTheme="minorHAnsi" w:hAnsiTheme="minorHAnsi" w:cstheme="minorHAnsi"/>
          <w:sz w:val="22"/>
          <w:szCs w:val="22"/>
        </w:rPr>
      </w:pPr>
      <w:r w:rsidRPr="00ED3A0D">
        <w:rPr>
          <w:rFonts w:asciiTheme="minorHAnsi" w:hAnsiTheme="minorHAnsi" w:cstheme="minorHAnsi"/>
          <w:sz w:val="22"/>
          <w:szCs w:val="22"/>
        </w:rPr>
        <w:t>DSB Security Policy</w:t>
      </w:r>
    </w:p>
    <w:p w14:paraId="73FB93DB" w14:textId="77777777" w:rsidR="007625FD" w:rsidRPr="00ED3A0D" w:rsidRDefault="007625FD" w:rsidP="007625FD">
      <w:pPr>
        <w:pStyle w:val="ListParagraph"/>
        <w:numPr>
          <w:ilvl w:val="0"/>
          <w:numId w:val="25"/>
        </w:numPr>
        <w:autoSpaceDE/>
        <w:autoSpaceDN/>
        <w:adjustRightInd/>
        <w:spacing w:before="0" w:after="120" w:line="276" w:lineRule="auto"/>
        <w:ind w:right="0"/>
        <w:contextualSpacing/>
        <w:jc w:val="both"/>
        <w:rPr>
          <w:rFonts w:asciiTheme="minorHAnsi" w:hAnsiTheme="minorHAnsi" w:cstheme="minorHAnsi"/>
          <w:sz w:val="22"/>
          <w:szCs w:val="22"/>
        </w:rPr>
      </w:pPr>
      <w:r w:rsidRPr="00ED3A0D">
        <w:rPr>
          <w:rFonts w:asciiTheme="minorHAnsi" w:hAnsiTheme="minorHAnsi" w:cstheme="minorHAnsi"/>
          <w:sz w:val="22"/>
          <w:szCs w:val="22"/>
        </w:rPr>
        <w:t>DSB Product Policy</w:t>
      </w:r>
    </w:p>
    <w:p w14:paraId="1564207D" w14:textId="77777777" w:rsidR="007625FD" w:rsidRPr="00ED3A0D" w:rsidRDefault="007625FD" w:rsidP="007625FD">
      <w:pPr>
        <w:pStyle w:val="ListParagraph"/>
        <w:numPr>
          <w:ilvl w:val="0"/>
          <w:numId w:val="25"/>
        </w:numPr>
        <w:autoSpaceDE/>
        <w:autoSpaceDN/>
        <w:adjustRightInd/>
        <w:spacing w:before="0" w:after="120" w:line="276" w:lineRule="auto"/>
        <w:ind w:right="0"/>
        <w:contextualSpacing/>
        <w:jc w:val="both"/>
        <w:rPr>
          <w:rFonts w:asciiTheme="minorHAnsi" w:hAnsiTheme="minorHAnsi" w:cstheme="minorHAnsi"/>
          <w:sz w:val="22"/>
          <w:szCs w:val="22"/>
        </w:rPr>
      </w:pPr>
      <w:r w:rsidRPr="00ED3A0D">
        <w:rPr>
          <w:rFonts w:asciiTheme="minorHAnsi" w:hAnsiTheme="minorHAnsi" w:cstheme="minorHAnsi"/>
          <w:sz w:val="22"/>
          <w:szCs w:val="22"/>
        </w:rPr>
        <w:t>DSB Service Level Policy</w:t>
      </w:r>
    </w:p>
    <w:p w14:paraId="3D3F0C7D" w14:textId="77777777" w:rsidR="007625FD" w:rsidRPr="00ED3A0D" w:rsidRDefault="007625FD" w:rsidP="007625FD">
      <w:pPr>
        <w:pStyle w:val="ListParagraph"/>
        <w:numPr>
          <w:ilvl w:val="0"/>
          <w:numId w:val="25"/>
        </w:numPr>
        <w:autoSpaceDE/>
        <w:autoSpaceDN/>
        <w:adjustRightInd/>
        <w:spacing w:before="0" w:after="120" w:line="276" w:lineRule="auto"/>
        <w:ind w:right="0"/>
        <w:contextualSpacing/>
        <w:jc w:val="both"/>
        <w:rPr>
          <w:rFonts w:asciiTheme="minorHAnsi" w:hAnsiTheme="minorHAnsi" w:cstheme="minorHAnsi"/>
          <w:sz w:val="22"/>
          <w:szCs w:val="22"/>
        </w:rPr>
      </w:pPr>
      <w:r w:rsidRPr="00ED3A0D">
        <w:rPr>
          <w:rFonts w:asciiTheme="minorHAnsi" w:hAnsiTheme="minorHAnsi" w:cstheme="minorHAnsi"/>
          <w:sz w:val="22"/>
          <w:szCs w:val="22"/>
        </w:rPr>
        <w:t xml:space="preserve">DSB </w:t>
      </w:r>
      <w:r w:rsidRPr="00ED3A0D" w:rsidDel="00D3207B">
        <w:rPr>
          <w:rFonts w:asciiTheme="minorHAnsi" w:hAnsiTheme="minorHAnsi" w:cstheme="minorHAnsi"/>
          <w:sz w:val="22"/>
          <w:szCs w:val="22"/>
        </w:rPr>
        <w:t>User</w:t>
      </w:r>
      <w:r w:rsidRPr="00ED3A0D">
        <w:rPr>
          <w:rFonts w:asciiTheme="minorHAnsi" w:hAnsiTheme="minorHAnsi" w:cstheme="minorHAnsi"/>
          <w:sz w:val="22"/>
          <w:szCs w:val="22"/>
        </w:rPr>
        <w:t xml:space="preserve"> Policy</w:t>
      </w:r>
    </w:p>
    <w:p w14:paraId="36CEF047" w14:textId="159D886B" w:rsidR="007625FD" w:rsidRPr="00252427" w:rsidRDefault="007625FD" w:rsidP="007625FD">
      <w:pPr>
        <w:spacing w:after="120"/>
        <w:jc w:val="both"/>
      </w:pPr>
      <w:r>
        <w:t xml:space="preserve">The fundamental obligations for the DSB and </w:t>
      </w:r>
      <w:r w:rsidDel="00D3207B">
        <w:t>User</w:t>
      </w:r>
      <w:r>
        <w:t xml:space="preserve"> housed in these existing Policies</w:t>
      </w:r>
      <w:r>
        <w:rPr>
          <w:rStyle w:val="FootnoteReference"/>
        </w:rPr>
        <w:footnoteReference w:id="49"/>
      </w:r>
      <w:r>
        <w:t xml:space="preserve"> </w:t>
      </w:r>
      <w:r w:rsidRPr="004C1687">
        <w:t xml:space="preserve">are not intended to change, barring feedback from industry </w:t>
      </w:r>
      <w:r w:rsidR="00E9490F" w:rsidRPr="004C1687">
        <w:t>during</w:t>
      </w:r>
      <w:r w:rsidRPr="004C1687">
        <w:t xml:space="preserve"> DSB consultations</w:t>
      </w:r>
      <w:r>
        <w:t>. Anticipated amendments are primarily to reflect the d</w:t>
      </w:r>
      <w:r w:rsidRPr="00252427">
        <w:t xml:space="preserve">ifferences between the OTC ISIN and UPI </w:t>
      </w:r>
      <w:r>
        <w:t>S</w:t>
      </w:r>
      <w:r w:rsidRPr="00252427">
        <w:t>ervice</w:t>
      </w:r>
      <w:r>
        <w:t xml:space="preserve"> procedures</w:t>
      </w:r>
      <w:r w:rsidRPr="00252427">
        <w:t xml:space="preserve"> e.g., acceptable use thresholds, payment methods, on-boarding processes</w:t>
      </w:r>
      <w:r>
        <w:t>. These differences</w:t>
      </w:r>
      <w:r w:rsidRPr="00252427">
        <w:t xml:space="preserve"> are proposed to be addressed through a combination of </w:t>
      </w:r>
      <w:r>
        <w:t>impacted</w:t>
      </w:r>
      <w:r w:rsidRPr="00252427">
        <w:t xml:space="preserve"> Policies having service-specific sections and references, and other </w:t>
      </w:r>
      <w:r>
        <w:t>sections will be</w:t>
      </w:r>
      <w:r w:rsidRPr="00252427">
        <w:t xml:space="preserve"> completely service-neutral. </w:t>
      </w:r>
    </w:p>
    <w:p w14:paraId="3BE4979B" w14:textId="77777777" w:rsidR="007625FD" w:rsidRPr="00252427" w:rsidRDefault="007625FD" w:rsidP="007625FD">
      <w:pPr>
        <w:spacing w:after="120"/>
        <w:jc w:val="both"/>
      </w:pPr>
      <w:r w:rsidRPr="00252427">
        <w:t xml:space="preserve">The Policies would be available on the DSB website as they are currently. Amendments to the Policies would </w:t>
      </w:r>
      <w:r>
        <w:t xml:space="preserve">also </w:t>
      </w:r>
      <w:r w:rsidRPr="00252427">
        <w:t xml:space="preserve">be done by a Variation Notice </w:t>
      </w:r>
      <w:r w:rsidRPr="00252427" w:rsidDel="002E741E">
        <w:t>issued by the DSB pursuant to clause 1.2 of the Main Terms</w:t>
      </w:r>
      <w:r>
        <w:t xml:space="preserve"> of the existing Agreement</w:t>
      </w:r>
      <w:r w:rsidRPr="00252427">
        <w:t xml:space="preserve">.    </w:t>
      </w:r>
    </w:p>
    <w:p w14:paraId="4B98D78B" w14:textId="77777777" w:rsidR="007625FD" w:rsidRPr="00252427" w:rsidRDefault="007625FD" w:rsidP="007625FD">
      <w:pPr>
        <w:spacing w:after="120"/>
        <w:jc w:val="both"/>
      </w:pPr>
    </w:p>
    <w:p w14:paraId="4191DF37" w14:textId="77777777" w:rsidR="007625FD" w:rsidRPr="00C94034" w:rsidRDefault="007625FD" w:rsidP="007625FD">
      <w:pPr>
        <w:spacing w:after="120"/>
        <w:jc w:val="both"/>
      </w:pPr>
      <w:r w:rsidRPr="00D26385">
        <w:rPr>
          <w:rStyle w:val="Heading4Char"/>
        </w:rPr>
        <w:t>Subscription Form:</w:t>
      </w:r>
      <w:r w:rsidRPr="00252427">
        <w:rPr>
          <w:b/>
        </w:rPr>
        <w:t xml:space="preserve"> </w:t>
      </w:r>
      <w:r w:rsidRPr="00252427">
        <w:rPr>
          <w:bCs/>
        </w:rPr>
        <w:t xml:space="preserve">This </w:t>
      </w:r>
      <w:r>
        <w:rPr>
          <w:bCs/>
        </w:rPr>
        <w:t>will be</w:t>
      </w:r>
      <w:r w:rsidRPr="00252427">
        <w:rPr>
          <w:bCs/>
        </w:rPr>
        <w:t xml:space="preserve"> the document executed by a </w:t>
      </w:r>
      <w:r>
        <w:rPr>
          <w:bCs/>
        </w:rPr>
        <w:t xml:space="preserve">fee-paying </w:t>
      </w:r>
      <w:r>
        <w:t>User</w:t>
      </w:r>
      <w:r w:rsidRPr="0016516C">
        <w:t xml:space="preserve"> </w:t>
      </w:r>
      <w:r w:rsidRPr="00252427">
        <w:rPr>
          <w:bCs/>
        </w:rPr>
        <w:t xml:space="preserve">on signing up with the </w:t>
      </w:r>
      <w:r w:rsidRPr="00C94034">
        <w:rPr>
          <w:bCs/>
        </w:rPr>
        <w:t>DSB for a combination of DSB service-type (</w:t>
      </w:r>
      <w:r w:rsidRPr="00C94034">
        <w:t>i.e</w:t>
      </w:r>
      <w:r w:rsidRPr="00C94034">
        <w:rPr>
          <w:bCs/>
        </w:rPr>
        <w:t>.,</w:t>
      </w:r>
      <w:r w:rsidRPr="00C94034">
        <w:t xml:space="preserve"> OTC ISIN and/or UPI) and </w:t>
      </w:r>
      <w:r w:rsidRPr="00C94034" w:rsidDel="00D3207B">
        <w:t>User</w:t>
      </w:r>
      <w:r w:rsidRPr="00C94034">
        <w:t xml:space="preserve"> Type (e.g</w:t>
      </w:r>
      <w:r w:rsidRPr="00C94034">
        <w:rPr>
          <w:bCs/>
        </w:rPr>
        <w:t>.,</w:t>
      </w:r>
      <w:r w:rsidRPr="00C94034">
        <w:t xml:space="preserve"> Infrequent, Standard, Search-only API, Power Subscriptions). </w:t>
      </w:r>
    </w:p>
    <w:p w14:paraId="142D1427" w14:textId="77777777" w:rsidR="007625FD" w:rsidRPr="00DA77AB" w:rsidRDefault="007625FD" w:rsidP="007625FD">
      <w:pPr>
        <w:spacing w:after="120"/>
        <w:jc w:val="both"/>
        <w:rPr>
          <w:bCs/>
        </w:rPr>
      </w:pPr>
      <w:r w:rsidRPr="00C94034">
        <w:t>Separate Subscription Forms would be maintained for each service provision. The Subscription</w:t>
      </w:r>
      <w:r w:rsidRPr="00D26385">
        <w:t xml:space="preserve"> Form</w:t>
      </w:r>
      <w:r w:rsidRPr="00040F0E">
        <w:t xml:space="preserve"> for the OTC ISIN </w:t>
      </w:r>
      <w:r>
        <w:t>S</w:t>
      </w:r>
      <w:r w:rsidRPr="00040F0E">
        <w:t xml:space="preserve">ervice would be executed via the current manual signature process, and for the UPI </w:t>
      </w:r>
      <w:r>
        <w:t>S</w:t>
      </w:r>
      <w:r w:rsidRPr="00040F0E">
        <w:t xml:space="preserve">ervice </w:t>
      </w:r>
      <w:r w:rsidRPr="00040F0E">
        <w:lastRenderedPageBreak/>
        <w:t xml:space="preserve">via </w:t>
      </w:r>
      <w:r>
        <w:rPr>
          <w:bCs/>
        </w:rPr>
        <w:t>COSP</w:t>
      </w:r>
      <w:r w:rsidRPr="008B0EFD">
        <w:rPr>
          <w:bCs/>
        </w:rPr>
        <w:t>.</w:t>
      </w:r>
      <w:r w:rsidRPr="00252427">
        <w:rPr>
          <w:bCs/>
        </w:rPr>
        <w:t xml:space="preserve"> </w:t>
      </w:r>
      <w:r>
        <w:rPr>
          <w:bCs/>
        </w:rPr>
        <w:t xml:space="preserve">The User would remain subject to a single set of Main Terms and Policies that would apply to all fee-paying DSB Services they might utilize. </w:t>
      </w:r>
      <w:r w:rsidRPr="00252427">
        <w:rPr>
          <w:bCs/>
        </w:rPr>
        <w:t xml:space="preserve">The </w:t>
      </w:r>
      <w:r>
        <w:rPr>
          <w:bCs/>
        </w:rPr>
        <w:t>Subscription Form</w:t>
      </w:r>
      <w:r w:rsidRPr="00252427">
        <w:rPr>
          <w:bCs/>
        </w:rPr>
        <w:t xml:space="preserve"> has three </w:t>
      </w:r>
      <w:r w:rsidRPr="00870056">
        <w:rPr>
          <w:bCs/>
        </w:rPr>
        <w:t xml:space="preserve">primary </w:t>
      </w:r>
      <w:r w:rsidRPr="00252427">
        <w:rPr>
          <w:bCs/>
        </w:rPr>
        <w:t xml:space="preserve">functions: </w:t>
      </w:r>
    </w:p>
    <w:p w14:paraId="206AE779" w14:textId="77777777" w:rsidR="007625FD" w:rsidRPr="00524ACE" w:rsidRDefault="007625FD" w:rsidP="007625FD">
      <w:pPr>
        <w:pStyle w:val="ListParagraph"/>
        <w:numPr>
          <w:ilvl w:val="0"/>
          <w:numId w:val="21"/>
        </w:numPr>
        <w:autoSpaceDE/>
        <w:autoSpaceDN/>
        <w:adjustRightInd/>
        <w:spacing w:after="120" w:line="259" w:lineRule="auto"/>
        <w:ind w:left="721" w:right="0" w:hanging="437"/>
        <w:contextualSpacing/>
        <w:jc w:val="both"/>
        <w:rPr>
          <w:sz w:val="22"/>
          <w:szCs w:val="22"/>
        </w:rPr>
      </w:pPr>
      <w:r w:rsidRPr="00524ACE">
        <w:rPr>
          <w:sz w:val="22"/>
          <w:szCs w:val="22"/>
        </w:rPr>
        <w:t xml:space="preserve">Record of DSB Service and </w:t>
      </w:r>
      <w:r w:rsidRPr="00524ACE" w:rsidDel="00D3207B">
        <w:rPr>
          <w:sz w:val="22"/>
          <w:szCs w:val="22"/>
        </w:rPr>
        <w:t>User</w:t>
      </w:r>
      <w:r w:rsidRPr="00524ACE">
        <w:rPr>
          <w:sz w:val="22"/>
          <w:szCs w:val="22"/>
        </w:rPr>
        <w:t xml:space="preserve"> Type combination, making up the specific subscription</w:t>
      </w:r>
    </w:p>
    <w:p w14:paraId="403ED57D" w14:textId="77777777" w:rsidR="007625FD" w:rsidRPr="00524ACE" w:rsidRDefault="007625FD" w:rsidP="007625FD">
      <w:pPr>
        <w:pStyle w:val="ListParagraph"/>
        <w:numPr>
          <w:ilvl w:val="0"/>
          <w:numId w:val="21"/>
        </w:numPr>
        <w:autoSpaceDE/>
        <w:autoSpaceDN/>
        <w:adjustRightInd/>
        <w:spacing w:before="0" w:after="120" w:line="259" w:lineRule="auto"/>
        <w:ind w:right="0" w:hanging="436"/>
        <w:contextualSpacing/>
        <w:jc w:val="both"/>
        <w:rPr>
          <w:sz w:val="22"/>
          <w:szCs w:val="22"/>
        </w:rPr>
      </w:pPr>
      <w:r w:rsidRPr="00524ACE">
        <w:rPr>
          <w:sz w:val="22"/>
          <w:szCs w:val="22"/>
        </w:rPr>
        <w:t>Inputting User details (e.g., LEI, company number, address, affiliate list)</w:t>
      </w:r>
    </w:p>
    <w:p w14:paraId="4590EFA8" w14:textId="77777777" w:rsidR="007625FD" w:rsidRPr="00524ACE" w:rsidRDefault="007625FD" w:rsidP="007625FD">
      <w:pPr>
        <w:pStyle w:val="ListParagraph"/>
        <w:numPr>
          <w:ilvl w:val="0"/>
          <w:numId w:val="21"/>
        </w:numPr>
        <w:autoSpaceDE/>
        <w:autoSpaceDN/>
        <w:adjustRightInd/>
        <w:spacing w:before="0" w:after="120" w:line="259" w:lineRule="auto"/>
        <w:ind w:right="0" w:hanging="436"/>
        <w:contextualSpacing/>
        <w:jc w:val="both"/>
        <w:rPr>
          <w:sz w:val="22"/>
          <w:szCs w:val="22"/>
        </w:rPr>
      </w:pPr>
      <w:r w:rsidRPr="00524ACE">
        <w:rPr>
          <w:sz w:val="22"/>
          <w:szCs w:val="22"/>
        </w:rPr>
        <w:t xml:space="preserve">Creation of a legal agreement between the </w:t>
      </w:r>
      <w:r w:rsidRPr="00524ACE" w:rsidDel="00D3207B">
        <w:rPr>
          <w:sz w:val="22"/>
          <w:szCs w:val="22"/>
        </w:rPr>
        <w:t>User</w:t>
      </w:r>
      <w:r w:rsidRPr="00524ACE">
        <w:rPr>
          <w:sz w:val="22"/>
          <w:szCs w:val="22"/>
        </w:rPr>
        <w:t xml:space="preserve"> and the DSB, incorporating the Subscription details, the Main Terms and the Policies (to which </w:t>
      </w:r>
      <w:proofErr w:type="gramStart"/>
      <w:r w:rsidRPr="00524ACE">
        <w:rPr>
          <w:sz w:val="22"/>
          <w:szCs w:val="22"/>
        </w:rPr>
        <w:t>references</w:t>
      </w:r>
      <w:proofErr w:type="gramEnd"/>
      <w:r w:rsidRPr="00524ACE">
        <w:rPr>
          <w:sz w:val="22"/>
          <w:szCs w:val="22"/>
        </w:rPr>
        <w:t xml:space="preserve"> and links are included on the Subscription Form). </w:t>
      </w:r>
    </w:p>
    <w:p w14:paraId="6446D24D" w14:textId="025244FB" w:rsidR="007625FD" w:rsidRDefault="007625FD" w:rsidP="007625FD">
      <w:pPr>
        <w:spacing w:after="120"/>
        <w:jc w:val="both"/>
      </w:pPr>
      <w:r>
        <w:rPr>
          <w:lang w:val="en-GB"/>
        </w:rPr>
        <w:t xml:space="preserve">The proposed approach set out above would align with the DSB’s UPI related Governance Criteria </w:t>
      </w:r>
      <w:r w:rsidRPr="00B56B63">
        <w:rPr>
          <w:rStyle w:val="normaltextrun"/>
          <w:rFonts w:ascii="Calibri" w:hAnsi="Calibri" w:cs="Calibri"/>
          <w:color w:val="000000"/>
        </w:rPr>
        <w:t xml:space="preserve">described </w:t>
      </w:r>
      <w:r w:rsidRPr="00906380">
        <w:rPr>
          <w:rStyle w:val="normaltextrun"/>
          <w:rFonts w:ascii="Calibri" w:hAnsi="Calibri" w:cs="Calibri"/>
          <w:color w:val="000000"/>
        </w:rPr>
        <w:t>in section</w:t>
      </w:r>
      <w:r w:rsidRPr="000100E7">
        <w:rPr>
          <w:rStyle w:val="normaltextrun"/>
          <w:rFonts w:ascii="Calibri" w:hAnsi="Calibri" w:cs="Calibri"/>
          <w:color w:val="000000"/>
        </w:rPr>
        <w:t xml:space="preserve"> </w:t>
      </w:r>
      <w:r w:rsidRPr="00906380">
        <w:rPr>
          <w:rStyle w:val="normaltextrun"/>
          <w:rFonts w:ascii="Calibri" w:hAnsi="Calibri" w:cs="Calibri"/>
          <w:color w:val="000000"/>
        </w:rPr>
        <w:fldChar w:fldCharType="begin"/>
      </w:r>
      <w:r w:rsidRPr="00906380">
        <w:rPr>
          <w:rStyle w:val="normaltextrun"/>
          <w:rFonts w:ascii="Calibri" w:hAnsi="Calibri" w:cs="Calibri"/>
          <w:color w:val="000000"/>
        </w:rPr>
        <w:instrText xml:space="preserve"> REF _Ref83379769 \r \h </w:instrText>
      </w:r>
      <w:r w:rsidRPr="00ED04CB">
        <w:rPr>
          <w:rStyle w:val="normaltextrun"/>
          <w:rFonts w:ascii="Calibri" w:hAnsi="Calibri" w:cs="Calibri"/>
          <w:color w:val="000000"/>
        </w:rPr>
        <w:instrText xml:space="preserve"> \* MERGEFORMAT </w:instrText>
      </w:r>
      <w:r w:rsidRPr="00906380">
        <w:rPr>
          <w:rStyle w:val="normaltextrun"/>
          <w:rFonts w:ascii="Calibri" w:hAnsi="Calibri" w:cs="Calibri"/>
          <w:color w:val="000000"/>
        </w:rPr>
      </w:r>
      <w:r w:rsidRPr="00906380">
        <w:rPr>
          <w:rStyle w:val="normaltextrun"/>
          <w:rFonts w:ascii="Calibri" w:hAnsi="Calibri" w:cs="Calibri"/>
          <w:color w:val="000000"/>
        </w:rPr>
        <w:fldChar w:fldCharType="separate"/>
      </w:r>
      <w:r w:rsidRPr="00906380">
        <w:rPr>
          <w:rStyle w:val="normaltextrun"/>
          <w:rFonts w:ascii="Calibri" w:hAnsi="Calibri" w:cs="Calibri"/>
          <w:color w:val="000000"/>
        </w:rPr>
        <w:t>3.2</w:t>
      </w:r>
      <w:r w:rsidRPr="00906380">
        <w:rPr>
          <w:rStyle w:val="normaltextrun"/>
          <w:rFonts w:ascii="Calibri" w:hAnsi="Calibri" w:cs="Calibri"/>
          <w:color w:val="000000"/>
        </w:rPr>
        <w:fldChar w:fldCharType="end"/>
      </w:r>
      <w:r w:rsidRPr="00906380">
        <w:rPr>
          <w:rStyle w:val="normaltextrun"/>
          <w:rFonts w:ascii="Calibri" w:hAnsi="Calibri" w:cs="Calibri"/>
          <w:i/>
          <w:color w:val="000000"/>
        </w:rPr>
        <w:t xml:space="preserve"> </w:t>
      </w:r>
      <w:r w:rsidRPr="00906380">
        <w:rPr>
          <w:lang w:val="en-GB"/>
        </w:rPr>
        <w:t xml:space="preserve">related to Conflicts of Interest, </w:t>
      </w:r>
      <w:r>
        <w:rPr>
          <w:lang w:val="en-GB"/>
        </w:rPr>
        <w:t xml:space="preserve">by </w:t>
      </w:r>
      <w:r w:rsidRPr="00906380">
        <w:rPr>
          <w:lang w:val="en-GB"/>
        </w:rPr>
        <w:t>ensuring Services are not tied or bundled</w:t>
      </w:r>
      <w:r>
        <w:rPr>
          <w:lang w:val="en-GB"/>
        </w:rPr>
        <w:t xml:space="preserve"> so that users could independently select the services and </w:t>
      </w:r>
      <w:r w:rsidR="00F07F21">
        <w:rPr>
          <w:lang w:val="en-GB"/>
        </w:rPr>
        <w:t>User Type</w:t>
      </w:r>
      <w:r>
        <w:rPr>
          <w:lang w:val="en-GB"/>
        </w:rPr>
        <w:t>s they wish to subscribe to</w:t>
      </w:r>
      <w:r w:rsidRPr="00906380">
        <w:rPr>
          <w:lang w:val="en-GB"/>
        </w:rPr>
        <w:t>.</w:t>
      </w:r>
    </w:p>
    <w:p w14:paraId="0BFEBEC0" w14:textId="70812E27" w:rsidR="007625FD" w:rsidRPr="00625A76" w:rsidRDefault="007625FD" w:rsidP="007625FD">
      <w:pPr>
        <w:spacing w:after="120"/>
        <w:jc w:val="both"/>
      </w:pPr>
      <w:r w:rsidRPr="00625A76">
        <w:t xml:space="preserve">At launch of the </w:t>
      </w:r>
      <w:r w:rsidR="00F07F21">
        <w:t>UPI Service</w:t>
      </w:r>
      <w:r w:rsidRPr="00625A76">
        <w:t xml:space="preserve">, OTC ISIN only users would not be required to execute any new agreements with the DSB. </w:t>
      </w:r>
      <w:r>
        <w:t xml:space="preserve">The proposal for OTC ISIN Users transition to the revised document structure is outlined at the end of this section. </w:t>
      </w:r>
    </w:p>
    <w:p w14:paraId="46E87902" w14:textId="77777777" w:rsidR="007625FD" w:rsidRPr="00294881" w:rsidRDefault="007625FD" w:rsidP="007625FD">
      <w:pPr>
        <w:spacing w:after="120"/>
        <w:jc w:val="both"/>
      </w:pPr>
      <w:r w:rsidRPr="00870056">
        <w:t xml:space="preserve">There </w:t>
      </w:r>
      <w:r>
        <w:t xml:space="preserve">is </w:t>
      </w:r>
      <w:r w:rsidRPr="00870056">
        <w:t xml:space="preserve">no </w:t>
      </w:r>
      <w:r>
        <w:t xml:space="preserve">anticipated </w:t>
      </w:r>
      <w:r w:rsidRPr="00870056">
        <w:t xml:space="preserve">change to the legal </w:t>
      </w:r>
      <w:r>
        <w:t xml:space="preserve">documentation </w:t>
      </w:r>
      <w:r w:rsidRPr="00870056">
        <w:t xml:space="preserve">structure if DSB moves to </w:t>
      </w:r>
      <w:r>
        <w:t>the COSP</w:t>
      </w:r>
      <w:r w:rsidRPr="00870056">
        <w:t xml:space="preserve"> for OTC ISIN in the future, only a change to the way in which the </w:t>
      </w:r>
      <w:r>
        <w:t>Subscription Form</w:t>
      </w:r>
      <w:r w:rsidRPr="00870056">
        <w:t xml:space="preserve">s for this service are executed. </w:t>
      </w:r>
    </w:p>
    <w:p w14:paraId="5F771079" w14:textId="77777777" w:rsidR="007625FD" w:rsidRDefault="007625FD" w:rsidP="007625FD">
      <w:pPr>
        <w:rPr>
          <w:lang w:val="en-GB"/>
        </w:rPr>
      </w:pPr>
    </w:p>
    <w:p w14:paraId="357CAD73" w14:textId="77777777" w:rsidR="00C3605F" w:rsidRDefault="00C3605F">
      <w:pPr>
        <w:rPr>
          <w:b/>
          <w:bCs/>
          <w:lang w:val="en-GB"/>
        </w:rPr>
      </w:pPr>
      <w:r>
        <w:rPr>
          <w:b/>
          <w:bCs/>
          <w:lang w:val="en-GB"/>
        </w:rPr>
        <w:br w:type="page"/>
      </w:r>
    </w:p>
    <w:p w14:paraId="75BFEE7C" w14:textId="16E6F61E" w:rsidR="007625FD" w:rsidRDefault="007625FD" w:rsidP="007625FD">
      <w:pPr>
        <w:spacing w:after="120"/>
        <w:jc w:val="both"/>
        <w:rPr>
          <w:b/>
          <w:bCs/>
          <w:lang w:val="en-GB"/>
        </w:rPr>
      </w:pPr>
      <w:r w:rsidRPr="00252427">
        <w:rPr>
          <w:b/>
          <w:bCs/>
          <w:lang w:val="en-GB"/>
        </w:rPr>
        <w:lastRenderedPageBreak/>
        <w:t>Summary of the Current vs. Proposed document structure:</w:t>
      </w:r>
    </w:p>
    <w:p w14:paraId="4F538C5C" w14:textId="77777777" w:rsidR="00BF3CB9" w:rsidRDefault="00BF3CB9" w:rsidP="007625FD">
      <w:pPr>
        <w:spacing w:after="120"/>
        <w:jc w:val="both"/>
        <w:rPr>
          <w:b/>
          <w:lang w:val="en-GB"/>
        </w:rPr>
      </w:pPr>
    </w:p>
    <w:p w14:paraId="7CCDF392" w14:textId="52D4D4F0" w:rsidR="006D5C1A" w:rsidRDefault="00502D34" w:rsidP="007625FD">
      <w:pPr>
        <w:spacing w:after="120"/>
        <w:jc w:val="both"/>
        <w:rPr>
          <w:noProof/>
        </w:rPr>
      </w:pPr>
      <w:r>
        <w:rPr>
          <w:noProof/>
        </w:rPr>
        <w:drawing>
          <wp:inline distT="0" distB="0" distL="0" distR="0" wp14:anchorId="0F200484" wp14:editId="49850B10">
            <wp:extent cx="5503356" cy="5326380"/>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30531" cy="5352681"/>
                    </a:xfrm>
                    <a:prstGeom prst="rect">
                      <a:avLst/>
                    </a:prstGeom>
                  </pic:spPr>
                </pic:pic>
              </a:graphicData>
            </a:graphic>
          </wp:inline>
        </w:drawing>
      </w:r>
    </w:p>
    <w:p w14:paraId="541B6599" w14:textId="77777777" w:rsidR="00502D34" w:rsidRDefault="00502D34" w:rsidP="007625FD">
      <w:pPr>
        <w:spacing w:after="120"/>
        <w:jc w:val="both"/>
        <w:rPr>
          <w:noProof/>
        </w:rPr>
      </w:pPr>
    </w:p>
    <w:p w14:paraId="50579F12" w14:textId="1E98257F" w:rsidR="00502D34" w:rsidRDefault="00C3605F" w:rsidP="007625FD">
      <w:pPr>
        <w:spacing w:after="120"/>
        <w:jc w:val="both"/>
        <w:rPr>
          <w:noProof/>
        </w:rPr>
      </w:pPr>
      <w:r>
        <w:rPr>
          <w:noProof/>
        </w:rPr>
        <w:lastRenderedPageBreak/>
        <w:drawing>
          <wp:inline distT="0" distB="0" distL="0" distR="0" wp14:anchorId="4DE32F62" wp14:editId="19B14349">
            <wp:extent cx="6314369" cy="4617720"/>
            <wp:effectExtent l="0" t="0" r="0" b="0"/>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35"/>
                    <a:stretch>
                      <a:fillRect/>
                    </a:stretch>
                  </pic:blipFill>
                  <pic:spPr>
                    <a:xfrm>
                      <a:off x="0" y="0"/>
                      <a:ext cx="6337095" cy="4634340"/>
                    </a:xfrm>
                    <a:prstGeom prst="rect">
                      <a:avLst/>
                    </a:prstGeom>
                  </pic:spPr>
                </pic:pic>
              </a:graphicData>
            </a:graphic>
          </wp:inline>
        </w:drawing>
      </w:r>
    </w:p>
    <w:p w14:paraId="0C4D499C" w14:textId="77777777" w:rsidR="006D5C1A" w:rsidRDefault="006D5C1A" w:rsidP="007625FD">
      <w:pPr>
        <w:spacing w:after="120"/>
        <w:jc w:val="both"/>
        <w:rPr>
          <w:noProof/>
        </w:rPr>
      </w:pPr>
    </w:p>
    <w:p w14:paraId="134AEDEC" w14:textId="10063CEE" w:rsidR="007625FD" w:rsidRPr="000E646E" w:rsidRDefault="007625FD" w:rsidP="007625FD">
      <w:pPr>
        <w:spacing w:after="120"/>
        <w:jc w:val="both"/>
        <w:rPr>
          <w:lang w:val="en-GB"/>
        </w:rPr>
      </w:pPr>
      <w:r w:rsidRPr="000E646E">
        <w:rPr>
          <w:lang w:val="en-GB"/>
        </w:rPr>
        <w:t xml:space="preserve">Other features of the </w:t>
      </w:r>
      <w:r>
        <w:rPr>
          <w:lang w:val="en-GB"/>
        </w:rPr>
        <w:t xml:space="preserve">proposed </w:t>
      </w:r>
      <w:r w:rsidRPr="000E646E">
        <w:rPr>
          <w:lang w:val="en-GB"/>
        </w:rPr>
        <w:t xml:space="preserve">Subscription </w:t>
      </w:r>
      <w:r>
        <w:rPr>
          <w:lang w:val="en-GB"/>
        </w:rPr>
        <w:t xml:space="preserve">Form </w:t>
      </w:r>
      <w:r w:rsidRPr="000E646E">
        <w:rPr>
          <w:lang w:val="en-GB"/>
        </w:rPr>
        <w:t>structure proposed in option 3 above:</w:t>
      </w:r>
    </w:p>
    <w:p w14:paraId="3C96457C" w14:textId="77777777" w:rsidR="007625FD" w:rsidRPr="00906380" w:rsidRDefault="007625FD" w:rsidP="007625FD">
      <w:pPr>
        <w:spacing w:after="120"/>
        <w:jc w:val="both"/>
      </w:pPr>
      <w:r w:rsidRPr="00906380">
        <w:rPr>
          <w:u w:val="single"/>
        </w:rPr>
        <w:t>Termination rights</w:t>
      </w:r>
      <w:r w:rsidRPr="00906380">
        <w:t xml:space="preserve"> – These would be revised in the Main Terms to cater for circumstances in which either party can terminate individual Subscriptions versus multiple Subscriptions. Further detail is provided below in </w:t>
      </w:r>
      <w:r w:rsidRPr="00040F0E">
        <w:t xml:space="preserve">section </w:t>
      </w:r>
      <w:r w:rsidRPr="00040F0E">
        <w:fldChar w:fldCharType="begin"/>
      </w:r>
      <w:r w:rsidRPr="00040F0E">
        <w:instrText xml:space="preserve"> REF _Ref83800445 \r \h </w:instrText>
      </w:r>
      <w:r>
        <w:instrText xml:space="preserve"> \* MERGEFORMAT</w:instrText>
      </w:r>
      <w:r w:rsidRPr="00AF328B">
        <w:instrText xml:space="preserve"> </w:instrText>
      </w:r>
      <w:r w:rsidRPr="00040F0E">
        <w:fldChar w:fldCharType="separate"/>
      </w:r>
      <w:r w:rsidRPr="00040F0E">
        <w:t>5.7</w:t>
      </w:r>
      <w:r w:rsidRPr="00040F0E">
        <w:fldChar w:fldCharType="end"/>
      </w:r>
      <w:r w:rsidRPr="00040F0E">
        <w:t>.</w:t>
      </w:r>
    </w:p>
    <w:p w14:paraId="6BF47C36" w14:textId="77777777" w:rsidR="007625FD" w:rsidRPr="00906380" w:rsidRDefault="007625FD" w:rsidP="007625FD">
      <w:pPr>
        <w:spacing w:after="120"/>
        <w:jc w:val="both"/>
      </w:pPr>
      <w:r w:rsidRPr="00906380">
        <w:rPr>
          <w:u w:val="single"/>
        </w:rPr>
        <w:t>Liability caps</w:t>
      </w:r>
      <w:r w:rsidRPr="00906380">
        <w:t xml:space="preserve"> – Liability </w:t>
      </w:r>
      <w:r>
        <w:t>limitations</w:t>
      </w:r>
      <w:r w:rsidRPr="00906380">
        <w:t xml:space="preserve"> will be applicable to an individual Subscription rather than all Subscriptions</w:t>
      </w:r>
      <w:r>
        <w:t xml:space="preserve"> (see section </w:t>
      </w:r>
      <w:r>
        <w:fldChar w:fldCharType="begin"/>
      </w:r>
      <w:r>
        <w:instrText xml:space="preserve"> REF _Ref83905210 \r \h  \* MERGEFORMAT </w:instrText>
      </w:r>
      <w:r>
        <w:fldChar w:fldCharType="separate"/>
      </w:r>
      <w:r>
        <w:t>5.12</w:t>
      </w:r>
      <w:r>
        <w:fldChar w:fldCharType="end"/>
      </w:r>
      <w:r>
        <w:t>)</w:t>
      </w:r>
      <w:r w:rsidRPr="00906380">
        <w:t xml:space="preserve">  </w:t>
      </w:r>
    </w:p>
    <w:p w14:paraId="1D4E1F7A" w14:textId="77777777" w:rsidR="007625FD" w:rsidRPr="00906380" w:rsidRDefault="007625FD" w:rsidP="007625FD">
      <w:pPr>
        <w:spacing w:after="120"/>
        <w:jc w:val="both"/>
      </w:pPr>
      <w:r w:rsidRPr="00906380">
        <w:rPr>
          <w:u w:val="single"/>
        </w:rPr>
        <w:t>Affiliates</w:t>
      </w:r>
      <w:r w:rsidRPr="00906380">
        <w:rPr>
          <w:rStyle w:val="FootnoteReference"/>
          <w:u w:val="single"/>
        </w:rPr>
        <w:footnoteReference w:id="50"/>
      </w:r>
      <w:r w:rsidRPr="00906380">
        <w:t xml:space="preserve"> – Most </w:t>
      </w:r>
      <w:r>
        <w:t>DSB</w:t>
      </w:r>
      <w:r w:rsidRPr="00906380">
        <w:t xml:space="preserve"> Users have a single list of Affiliates where the Organisation Type entitles the User to list the Affiliates to be covered under the Agreement (see </w:t>
      </w:r>
      <w:r w:rsidRPr="00040F0E">
        <w:t xml:space="preserve">section </w:t>
      </w:r>
      <w:r w:rsidRPr="00040F0E">
        <w:fldChar w:fldCharType="begin"/>
      </w:r>
      <w:r w:rsidRPr="00D367BD">
        <w:instrText xml:space="preserve"> REF _Ref83800460 \r \h </w:instrText>
      </w:r>
      <w:r>
        <w:instrText xml:space="preserve"> \* MERGEFORMAT</w:instrText>
      </w:r>
      <w:r w:rsidRPr="00AF328B">
        <w:instrText xml:space="preserve"> </w:instrText>
      </w:r>
      <w:r w:rsidRPr="00040F0E">
        <w:fldChar w:fldCharType="separate"/>
      </w:r>
      <w:r w:rsidRPr="00040F0E">
        <w:t>5.4</w:t>
      </w:r>
      <w:r w:rsidRPr="00040F0E">
        <w:fldChar w:fldCharType="end"/>
      </w:r>
      <w:r w:rsidRPr="00906380">
        <w:t xml:space="preserve">). These Affiliates will be entitled </w:t>
      </w:r>
      <w:r w:rsidRPr="00906380">
        <w:lastRenderedPageBreak/>
        <w:t xml:space="preserve">to benefit from all Subscriptions. There will be a process in place to handle </w:t>
      </w:r>
      <w:r>
        <w:t xml:space="preserve">any </w:t>
      </w:r>
      <w:r w:rsidRPr="00906380">
        <w:t xml:space="preserve">variations </w:t>
      </w:r>
      <w:r>
        <w:t xml:space="preserve">arising in relation </w:t>
      </w:r>
      <w:r w:rsidRPr="00906380">
        <w:t>to this approach.</w:t>
      </w:r>
    </w:p>
    <w:p w14:paraId="591A4889" w14:textId="77777777" w:rsidR="007625FD" w:rsidRPr="004477AC" w:rsidRDefault="007625FD" w:rsidP="007625FD">
      <w:pPr>
        <w:spacing w:after="120"/>
        <w:jc w:val="both"/>
      </w:pPr>
      <w:proofErr w:type="spellStart"/>
      <w:r w:rsidRPr="004477AC">
        <w:rPr>
          <w:u w:val="single"/>
        </w:rPr>
        <w:t>Novations</w:t>
      </w:r>
      <w:proofErr w:type="spellEnd"/>
      <w:r w:rsidRPr="004477AC">
        <w:t xml:space="preserve"> – </w:t>
      </w:r>
      <w:r>
        <w:t xml:space="preserve">The DSB assumes that for the majority of </w:t>
      </w:r>
      <w:proofErr w:type="spellStart"/>
      <w:r>
        <w:t>novations</w:t>
      </w:r>
      <w:proofErr w:type="spellEnd"/>
      <w:r>
        <w:t>, all</w:t>
      </w:r>
      <w:r w:rsidRPr="004477AC">
        <w:t xml:space="preserve"> </w:t>
      </w:r>
      <w:r w:rsidRPr="00E524A7">
        <w:t>Subscriptions</w:t>
      </w:r>
      <w:r>
        <w:t xml:space="preserve"> would need</w:t>
      </w:r>
      <w:r w:rsidRPr="00E524A7">
        <w:t xml:space="preserve"> to</w:t>
      </w:r>
      <w:r>
        <w:t xml:space="preserve"> be moved</w:t>
      </w:r>
      <w:r w:rsidRPr="00E524A7">
        <w:t xml:space="preserve"> </w:t>
      </w:r>
      <w:r>
        <w:t xml:space="preserve">to </w:t>
      </w:r>
      <w:r w:rsidRPr="00E524A7">
        <w:t xml:space="preserve">a different entity simultaneously. </w:t>
      </w:r>
      <w:r>
        <w:t xml:space="preserve">There will be a process in place to handle </w:t>
      </w:r>
      <w:r w:rsidRPr="004477AC">
        <w:t xml:space="preserve">the transfer of </w:t>
      </w:r>
      <w:r>
        <w:t xml:space="preserve">only a subset of the </w:t>
      </w:r>
      <w:r w:rsidRPr="004477AC">
        <w:t>Subscriptions</w:t>
      </w:r>
      <w:r>
        <w:t xml:space="preserve"> to a new entity.</w:t>
      </w:r>
    </w:p>
    <w:p w14:paraId="605D98F8" w14:textId="77777777" w:rsidR="007625FD" w:rsidRDefault="007625FD" w:rsidP="007625FD">
      <w:pPr>
        <w:spacing w:after="120"/>
        <w:jc w:val="both"/>
        <w:rPr>
          <w:bCs/>
          <w:u w:val="single"/>
        </w:rPr>
      </w:pPr>
    </w:p>
    <w:p w14:paraId="01C23CD6" w14:textId="77777777" w:rsidR="007625FD" w:rsidRDefault="007625FD" w:rsidP="007625FD">
      <w:pPr>
        <w:spacing w:after="120"/>
        <w:jc w:val="both"/>
        <w:rPr>
          <w:u w:val="single"/>
          <w:lang w:val="en-GB"/>
        </w:rPr>
      </w:pPr>
      <w:r w:rsidRPr="004943CE">
        <w:rPr>
          <w:u w:val="single"/>
          <w:lang w:val="en-GB"/>
        </w:rPr>
        <w:t>Proposal for transition of existing OTC ISIN Users to the proposed documentation structure</w:t>
      </w:r>
    </w:p>
    <w:p w14:paraId="13A48FF2" w14:textId="74AFEAFC" w:rsidR="007625FD" w:rsidRPr="00C64F56" w:rsidRDefault="007625FD" w:rsidP="007625FD">
      <w:pPr>
        <w:spacing w:after="120"/>
        <w:jc w:val="both"/>
        <w:rPr>
          <w:lang w:val="en-GB"/>
        </w:rPr>
      </w:pPr>
      <w:r w:rsidRPr="00C6250B">
        <w:rPr>
          <w:lang w:val="en-GB"/>
        </w:rPr>
        <w:t>For the</w:t>
      </w:r>
      <w:r>
        <w:rPr>
          <w:lang w:val="en-GB"/>
        </w:rPr>
        <w:t xml:space="preserve"> avoidance of doubt, this new documentation structure would be used for new UPI </w:t>
      </w:r>
      <w:r>
        <w:t>Users</w:t>
      </w:r>
      <w:r w:rsidRPr="0016516C">
        <w:t xml:space="preserve"> </w:t>
      </w:r>
      <w:r>
        <w:rPr>
          <w:lang w:val="en-GB"/>
        </w:rPr>
        <w:t xml:space="preserve">upon the launch </w:t>
      </w:r>
      <w:r w:rsidRPr="00B05F37">
        <w:rPr>
          <w:lang w:val="en-GB"/>
        </w:rPr>
        <w:t>of the U</w:t>
      </w:r>
      <w:r w:rsidRPr="00C64F56">
        <w:rPr>
          <w:lang w:val="en-GB"/>
        </w:rPr>
        <w:t xml:space="preserve">PI Service. </w:t>
      </w:r>
    </w:p>
    <w:p w14:paraId="600738FD" w14:textId="272F6A5C" w:rsidR="00455046" w:rsidRDefault="00690695" w:rsidP="007625FD">
      <w:pPr>
        <w:spacing w:after="120"/>
        <w:jc w:val="both"/>
        <w:rPr>
          <w:lang w:val="en-GB"/>
        </w:rPr>
      </w:pPr>
      <w:r>
        <w:rPr>
          <w:lang w:val="en-GB"/>
        </w:rPr>
        <w:t>In l</w:t>
      </w:r>
      <w:r w:rsidR="00D30EA3">
        <w:rPr>
          <w:lang w:val="en-GB"/>
        </w:rPr>
        <w:t>i</w:t>
      </w:r>
      <w:r>
        <w:rPr>
          <w:lang w:val="en-GB"/>
        </w:rPr>
        <w:t>ne with Section 1.2 of the DSB Access and Usage Agreement</w:t>
      </w:r>
      <w:r w:rsidR="00D863D0">
        <w:rPr>
          <w:lang w:val="en-GB"/>
        </w:rPr>
        <w:t xml:space="preserve">, “The DSB may amend…. </w:t>
      </w:r>
      <w:r w:rsidR="00D863D0">
        <w:t xml:space="preserve">the Main Terms by giving ninety (90) days’ </w:t>
      </w:r>
      <w:proofErr w:type="gramStart"/>
      <w:r w:rsidR="00D863D0">
        <w:t>notice</w:t>
      </w:r>
      <w:proofErr w:type="gramEnd"/>
      <w:r w:rsidR="00D863D0">
        <w:t xml:space="preserve"> in writing to the User at any time provided that the same or equivalent amendments are also made to all other agreements governing access to, and use of, the DSB Service</w:t>
      </w:r>
      <w:r w:rsidR="00DC0227">
        <w:t xml:space="preserve">”. As such </w:t>
      </w:r>
      <w:proofErr w:type="gramStart"/>
      <w:r w:rsidR="00DC0227">
        <w:t>all OTC ISIN</w:t>
      </w:r>
      <w:proofErr w:type="gramEnd"/>
      <w:r w:rsidR="00DC0227">
        <w:t xml:space="preserve"> agreements will be transitioned to the new structure </w:t>
      </w:r>
      <w:r w:rsidR="000D3513">
        <w:t>simultaneously</w:t>
      </w:r>
      <w:r w:rsidR="00DC0227">
        <w:t>.</w:t>
      </w:r>
      <w:r w:rsidR="00AC6F8D">
        <w:t xml:space="preserve"> </w:t>
      </w:r>
      <w:r w:rsidR="00AC6F8D">
        <w:rPr>
          <w:lang w:val="en-GB"/>
        </w:rPr>
        <w:t>C</w:t>
      </w:r>
      <w:r w:rsidR="00AC6F8D" w:rsidRPr="00AA7FE2">
        <w:rPr>
          <w:lang w:val="en-GB"/>
        </w:rPr>
        <w:t xml:space="preserve">ommunication regarding plans and timelines for transition to the new document structure </w:t>
      </w:r>
      <w:r w:rsidR="000D3513">
        <w:rPr>
          <w:lang w:val="en-GB"/>
        </w:rPr>
        <w:t>will</w:t>
      </w:r>
      <w:r w:rsidR="00AC6F8D" w:rsidRPr="00AA7FE2">
        <w:rPr>
          <w:lang w:val="en-GB"/>
        </w:rPr>
        <w:t xml:space="preserve"> follow in due course</w:t>
      </w:r>
      <w:r w:rsidR="00AC6F8D" w:rsidRPr="00B05F37">
        <w:rPr>
          <w:lang w:val="en-GB"/>
        </w:rPr>
        <w:t>.</w:t>
      </w:r>
      <w:r w:rsidR="000D3513">
        <w:rPr>
          <w:lang w:val="en-GB"/>
        </w:rPr>
        <w:t xml:space="preserve"> </w:t>
      </w:r>
      <w:r w:rsidR="000D3513" w:rsidRPr="003E73F2">
        <w:t>The</w:t>
      </w:r>
      <w:r w:rsidR="000D3513">
        <w:t xml:space="preserve"> DSB’s proposed approach </w:t>
      </w:r>
      <w:r w:rsidR="000D3513" w:rsidRPr="003E73F2">
        <w:t xml:space="preserve">would </w:t>
      </w:r>
      <w:r w:rsidR="000D3513">
        <w:t xml:space="preserve">mean that </w:t>
      </w:r>
      <w:r w:rsidR="000D3513" w:rsidRPr="003E73F2">
        <w:t xml:space="preserve">Users </w:t>
      </w:r>
      <w:r w:rsidR="000D3513">
        <w:t xml:space="preserve">will not need </w:t>
      </w:r>
      <w:r w:rsidR="000D3513" w:rsidRPr="003E73F2">
        <w:t xml:space="preserve">to </w:t>
      </w:r>
      <w:r w:rsidR="000D3513" w:rsidRPr="000908F7">
        <w:t xml:space="preserve">counter-sign these as it is simply a record of the existing agreement.  </w:t>
      </w:r>
    </w:p>
    <w:p w14:paraId="0285FDD7" w14:textId="77777777" w:rsidR="007625FD" w:rsidRDefault="007625FD" w:rsidP="007625FD"/>
    <w:bookmarkStart w:id="79" w:name="_Toc86680476"/>
    <w:p w14:paraId="6967DF5E" w14:textId="77777777" w:rsidR="007625FD" w:rsidRPr="00623841" w:rsidRDefault="007625FD" w:rsidP="007625FD">
      <w:pPr>
        <w:pStyle w:val="Heading2"/>
        <w:spacing w:before="0" w:line="276" w:lineRule="auto"/>
      </w:pPr>
      <w:r>
        <w:rPr>
          <w:noProof/>
          <w:lang w:eastAsia="en-GB"/>
        </w:rPr>
        <w:lastRenderedPageBreak/>
        <mc:AlternateContent>
          <mc:Choice Requires="wps">
            <w:drawing>
              <wp:anchor distT="45720" distB="45720" distL="114300" distR="114300" simplePos="0" relativeHeight="251658242" behindDoc="0" locked="0" layoutInCell="1" allowOverlap="1" wp14:anchorId="2341E9CC" wp14:editId="32B30E2E">
                <wp:simplePos x="0" y="0"/>
                <wp:positionH relativeFrom="margin">
                  <wp:posOffset>6985</wp:posOffset>
                </wp:positionH>
                <wp:positionV relativeFrom="paragraph">
                  <wp:posOffset>278765</wp:posOffset>
                </wp:positionV>
                <wp:extent cx="5716905" cy="1404620"/>
                <wp:effectExtent l="0" t="0" r="17145" b="152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rgbClr val="FFFFFF"/>
                        </a:solidFill>
                        <a:ln w="9525">
                          <a:solidFill>
                            <a:srgbClr val="04AEB9"/>
                          </a:solidFill>
                          <a:miter lim="800000"/>
                          <a:headEnd/>
                          <a:tailEnd/>
                        </a:ln>
                      </wps:spPr>
                      <wps:txbx>
                        <w:txbxContent>
                          <w:p w14:paraId="2E35BDFB"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6E6BDE84" w14:textId="7E8FFEC3" w:rsidR="007625FD" w:rsidRDefault="007625FD" w:rsidP="00A8431C">
                            <w:pPr>
                              <w:pStyle w:val="paragraph"/>
                              <w:spacing w:before="240" w:beforeAutospacing="0" w:after="120" w:afterAutospacing="0" w:line="276" w:lineRule="auto"/>
                              <w:jc w:val="both"/>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The </w:t>
                            </w:r>
                            <w:r w:rsidRPr="008E5209">
                              <w:rPr>
                                <w:rStyle w:val="normaltextrun"/>
                                <w:rFonts w:ascii="Calibri" w:hAnsi="Calibri" w:cs="Calibri"/>
                                <w:color w:val="000000"/>
                                <w:sz w:val="22"/>
                                <w:szCs w:val="22"/>
                              </w:rPr>
                              <w:t xml:space="preserve">default onboarding approach for prospective fee-paying UPI clients </w:t>
                            </w:r>
                            <w:r>
                              <w:rPr>
                                <w:rStyle w:val="normaltextrun"/>
                                <w:rFonts w:ascii="Calibri" w:hAnsi="Calibri" w:cs="Calibri"/>
                                <w:color w:val="000000"/>
                                <w:sz w:val="22"/>
                                <w:szCs w:val="22"/>
                              </w:rPr>
                              <w:t>is proposed to</w:t>
                            </w:r>
                            <w:r w:rsidRPr="008E5209">
                              <w:rPr>
                                <w:rStyle w:val="normaltextrun"/>
                                <w:rFonts w:ascii="Calibri" w:hAnsi="Calibri" w:cs="Calibri"/>
                                <w:color w:val="000000"/>
                                <w:sz w:val="22"/>
                                <w:szCs w:val="22"/>
                              </w:rPr>
                              <w:t xml:space="preserve"> be t</w:t>
                            </w:r>
                            <w:r>
                              <w:rPr>
                                <w:rStyle w:val="normaltextrun"/>
                                <w:rFonts w:ascii="Calibri" w:hAnsi="Calibri" w:cs="Calibri"/>
                                <w:color w:val="000000"/>
                                <w:sz w:val="22"/>
                                <w:szCs w:val="22"/>
                              </w:rPr>
                              <w:t>he</w:t>
                            </w:r>
                            <w:r w:rsidRPr="008E5209">
                              <w:rPr>
                                <w:rStyle w:val="normaltextrun"/>
                                <w:rFonts w:ascii="Calibri" w:hAnsi="Calibri" w:cs="Calibri"/>
                                <w:color w:val="000000"/>
                                <w:sz w:val="22"/>
                                <w:szCs w:val="22"/>
                              </w:rPr>
                              <w:t xml:space="preserve"> use</w:t>
                            </w:r>
                            <w:r>
                              <w:rPr>
                                <w:rStyle w:val="normaltextrun"/>
                                <w:rFonts w:ascii="Calibri" w:hAnsi="Calibri" w:cs="Calibri"/>
                                <w:color w:val="000000"/>
                                <w:sz w:val="22"/>
                                <w:szCs w:val="22"/>
                              </w:rPr>
                              <w:t xml:space="preserve"> of</w:t>
                            </w:r>
                            <w:r w:rsidRPr="008E5209">
                              <w:rPr>
                                <w:rStyle w:val="normaltextrun"/>
                                <w:rFonts w:ascii="Calibri" w:hAnsi="Calibri" w:cs="Calibri"/>
                                <w:color w:val="000000"/>
                                <w:sz w:val="22"/>
                                <w:szCs w:val="22"/>
                              </w:rPr>
                              <w:t xml:space="preserve"> the DSB's Client </w:t>
                            </w:r>
                            <w:r>
                              <w:rPr>
                                <w:rStyle w:val="normaltextrun"/>
                                <w:rFonts w:ascii="Calibri" w:hAnsi="Calibri" w:cs="Calibri"/>
                                <w:color w:val="000000"/>
                                <w:sz w:val="22"/>
                                <w:szCs w:val="22"/>
                              </w:rPr>
                              <w:t>Onboarding</w:t>
                            </w:r>
                            <w:r w:rsidRPr="008E5209">
                              <w:rPr>
                                <w:rStyle w:val="normaltextrun"/>
                                <w:rFonts w:ascii="Calibri" w:hAnsi="Calibri" w:cs="Calibri"/>
                                <w:color w:val="000000"/>
                                <w:sz w:val="22"/>
                                <w:szCs w:val="22"/>
                              </w:rPr>
                              <w:t xml:space="preserve"> and Support Platform (</w:t>
                            </w:r>
                            <w:r>
                              <w:rPr>
                                <w:rStyle w:val="normaltextrun"/>
                                <w:rFonts w:ascii="Calibri" w:hAnsi="Calibri" w:cs="Calibri"/>
                                <w:color w:val="000000"/>
                                <w:sz w:val="22"/>
                                <w:szCs w:val="22"/>
                              </w:rPr>
                              <w:t>COSP</w:t>
                            </w:r>
                            <w:r w:rsidRPr="008E5209">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t xml:space="preserve">- set out in section </w:t>
                            </w:r>
                            <w:r>
                              <w:rPr>
                                <w:rStyle w:val="normaltextrun"/>
                                <w:rFonts w:ascii="Calibri" w:hAnsi="Calibri" w:cs="Calibri"/>
                                <w:color w:val="000000"/>
                                <w:sz w:val="22"/>
                                <w:szCs w:val="22"/>
                              </w:rPr>
                              <w:fldChar w:fldCharType="begin"/>
                            </w:r>
                            <w:r>
                              <w:rPr>
                                <w:rStyle w:val="normaltextrun"/>
                                <w:rFonts w:ascii="Calibri" w:hAnsi="Calibri" w:cs="Calibri"/>
                                <w:color w:val="000000"/>
                                <w:sz w:val="22"/>
                                <w:szCs w:val="22"/>
                              </w:rPr>
                              <w:instrText xml:space="preserve"> REF _Ref84249452 \r \h </w:instrText>
                            </w:r>
                            <w:r w:rsidR="00A8431C">
                              <w:rPr>
                                <w:rStyle w:val="normaltextrun"/>
                                <w:rFonts w:ascii="Calibri" w:hAnsi="Calibri" w:cs="Calibri"/>
                                <w:color w:val="000000"/>
                                <w:sz w:val="22"/>
                                <w:szCs w:val="22"/>
                              </w:rPr>
                              <w:instrText xml:space="preserve"> \* MERGEFORMAT </w:instrText>
                            </w:r>
                            <w:r>
                              <w:rPr>
                                <w:rStyle w:val="normaltextrun"/>
                                <w:rFonts w:ascii="Calibri" w:hAnsi="Calibri" w:cs="Calibri"/>
                                <w:color w:val="000000"/>
                                <w:sz w:val="22"/>
                                <w:szCs w:val="22"/>
                              </w:rPr>
                            </w:r>
                            <w:r>
                              <w:rPr>
                                <w:rStyle w:val="normaltextrun"/>
                                <w:rFonts w:ascii="Calibri" w:hAnsi="Calibri" w:cs="Calibri"/>
                                <w:color w:val="000000"/>
                                <w:sz w:val="22"/>
                                <w:szCs w:val="22"/>
                              </w:rPr>
                              <w:fldChar w:fldCharType="separate"/>
                            </w:r>
                            <w:r>
                              <w:rPr>
                                <w:rStyle w:val="normaltextrun"/>
                                <w:rFonts w:ascii="Calibri" w:hAnsi="Calibri" w:cs="Calibri"/>
                                <w:color w:val="000000"/>
                                <w:sz w:val="22"/>
                                <w:szCs w:val="22"/>
                              </w:rPr>
                              <w:t>5.1</w:t>
                            </w:r>
                            <w:r>
                              <w:rPr>
                                <w:rStyle w:val="normaltextrun"/>
                                <w:rFonts w:ascii="Calibri" w:hAnsi="Calibri" w:cs="Calibri"/>
                                <w:color w:val="000000"/>
                                <w:sz w:val="22"/>
                                <w:szCs w:val="22"/>
                              </w:rPr>
                              <w:fldChar w:fldCharType="end"/>
                            </w:r>
                            <w:r>
                              <w:rPr>
                                <w:rStyle w:val="normaltextrun"/>
                                <w:rFonts w:ascii="Calibri" w:hAnsi="Calibri" w:cs="Calibri"/>
                                <w:color w:val="000000"/>
                                <w:sz w:val="22"/>
                                <w:szCs w:val="22"/>
                              </w:rPr>
                              <w:t xml:space="preserve"> of this consultation - </w:t>
                            </w:r>
                            <w:r w:rsidRPr="008E5209">
                              <w:rPr>
                                <w:rStyle w:val="normaltextrun"/>
                                <w:rFonts w:ascii="Calibri" w:hAnsi="Calibri" w:cs="Calibri"/>
                                <w:color w:val="000000"/>
                                <w:sz w:val="22"/>
                                <w:szCs w:val="22"/>
                              </w:rPr>
                              <w:t>to select the User Type(s) to which the</w:t>
                            </w:r>
                            <w:r>
                              <w:rPr>
                                <w:rStyle w:val="normaltextrun"/>
                                <w:rFonts w:ascii="Calibri" w:hAnsi="Calibri" w:cs="Calibri"/>
                                <w:color w:val="000000"/>
                                <w:sz w:val="22"/>
                                <w:szCs w:val="22"/>
                              </w:rPr>
                              <w:t xml:space="preserve"> legal entit</w:t>
                            </w:r>
                            <w:r w:rsidRPr="008E5209">
                              <w:rPr>
                                <w:rStyle w:val="normaltextrun"/>
                                <w:rFonts w:ascii="Calibri" w:hAnsi="Calibri" w:cs="Calibri"/>
                                <w:color w:val="000000"/>
                                <w:sz w:val="22"/>
                                <w:szCs w:val="22"/>
                              </w:rPr>
                              <w:t>y wish</w:t>
                            </w:r>
                            <w:r>
                              <w:rPr>
                                <w:rStyle w:val="normaltextrun"/>
                                <w:rFonts w:ascii="Calibri" w:hAnsi="Calibri" w:cs="Calibri"/>
                                <w:color w:val="000000"/>
                                <w:sz w:val="22"/>
                                <w:szCs w:val="22"/>
                              </w:rPr>
                              <w:t>es</w:t>
                            </w:r>
                            <w:r w:rsidRPr="008E5209">
                              <w:rPr>
                                <w:rStyle w:val="normaltextrun"/>
                                <w:rFonts w:ascii="Calibri" w:hAnsi="Calibri" w:cs="Calibri"/>
                                <w:color w:val="000000"/>
                                <w:sz w:val="22"/>
                                <w:szCs w:val="22"/>
                              </w:rPr>
                              <w:t xml:space="preserve"> to subscribe and complete the</w:t>
                            </w:r>
                            <w:r>
                              <w:rPr>
                                <w:rStyle w:val="normaltextrun"/>
                                <w:rFonts w:ascii="Calibri" w:hAnsi="Calibri" w:cs="Calibri"/>
                                <w:color w:val="000000"/>
                                <w:sz w:val="22"/>
                                <w:szCs w:val="22"/>
                              </w:rPr>
                              <w:t xml:space="preserve"> administrative</w:t>
                            </w:r>
                            <w:r w:rsidRPr="008E5209">
                              <w:rPr>
                                <w:rStyle w:val="normaltextrun"/>
                                <w:rFonts w:ascii="Calibri" w:hAnsi="Calibri" w:cs="Calibri"/>
                                <w:color w:val="000000"/>
                                <w:sz w:val="22"/>
                                <w:szCs w:val="22"/>
                              </w:rPr>
                              <w:t xml:space="preserve"> onboarding </w:t>
                            </w:r>
                            <w:r>
                              <w:rPr>
                                <w:rStyle w:val="normaltextrun"/>
                                <w:rFonts w:ascii="Calibri" w:hAnsi="Calibri" w:cs="Calibri"/>
                                <w:color w:val="000000"/>
                                <w:sz w:val="22"/>
                                <w:szCs w:val="22"/>
                              </w:rPr>
                              <w:t>steps</w:t>
                            </w:r>
                            <w:r w:rsidRPr="008E5209">
                              <w:rPr>
                                <w:rStyle w:val="normaltextrun"/>
                                <w:rFonts w:ascii="Calibri" w:hAnsi="Calibri" w:cs="Calibri"/>
                                <w:color w:val="000000"/>
                                <w:sz w:val="22"/>
                                <w:szCs w:val="22"/>
                              </w:rPr>
                              <w:t>.</w:t>
                            </w:r>
                            <w:r w:rsidR="00D30EA3">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t>If the proposal is endorsed by industry, clients</w:t>
                            </w:r>
                            <w:r w:rsidRPr="007972D7">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t xml:space="preserve">of the </w:t>
                            </w:r>
                            <w:r w:rsidR="00F07F21">
                              <w:rPr>
                                <w:rStyle w:val="normaltextrun"/>
                                <w:rFonts w:ascii="Calibri" w:hAnsi="Calibri" w:cs="Calibri"/>
                                <w:color w:val="000000"/>
                                <w:sz w:val="22"/>
                                <w:szCs w:val="22"/>
                              </w:rPr>
                              <w:t>UPI Service</w:t>
                            </w:r>
                            <w:r w:rsidRPr="007972D7">
                              <w:rPr>
                                <w:rStyle w:val="normaltextrun"/>
                                <w:rFonts w:ascii="Calibri" w:hAnsi="Calibri" w:cs="Calibri"/>
                                <w:color w:val="000000"/>
                                <w:sz w:val="22"/>
                                <w:szCs w:val="22"/>
                              </w:rPr>
                              <w:t xml:space="preserve"> will be asked to accept a set of </w:t>
                            </w:r>
                            <w:r>
                              <w:rPr>
                                <w:rStyle w:val="normaltextrun"/>
                                <w:rFonts w:ascii="Calibri" w:hAnsi="Calibri" w:cs="Calibri"/>
                                <w:color w:val="000000"/>
                                <w:sz w:val="22"/>
                                <w:szCs w:val="22"/>
                              </w:rPr>
                              <w:t>COSP</w:t>
                            </w:r>
                            <w:r w:rsidRPr="007972D7">
                              <w:rPr>
                                <w:rStyle w:val="normaltextrun"/>
                                <w:rFonts w:ascii="Calibri" w:hAnsi="Calibri" w:cs="Calibri"/>
                                <w:color w:val="000000"/>
                                <w:sz w:val="22"/>
                                <w:szCs w:val="22"/>
                              </w:rPr>
                              <w:t xml:space="preserve"> Platform Terms (</w:t>
                            </w:r>
                            <w:r>
                              <w:rPr>
                                <w:rStyle w:val="normaltextrun"/>
                                <w:rFonts w:ascii="Calibri" w:hAnsi="Calibri" w:cs="Calibri"/>
                                <w:color w:val="000000"/>
                                <w:sz w:val="22"/>
                                <w:szCs w:val="22"/>
                              </w:rPr>
                              <w:t xml:space="preserve">aligned to the </w:t>
                            </w:r>
                            <w:r w:rsidRPr="00637067">
                              <w:rPr>
                                <w:rStyle w:val="normaltextrun"/>
                                <w:rFonts w:ascii="Calibri" w:hAnsi="Calibri" w:cs="Calibri"/>
                                <w:color w:val="000000"/>
                                <w:sz w:val="22"/>
                                <w:szCs w:val="22"/>
                              </w:rPr>
                              <w:t>Main Terms and Policies</w:t>
                            </w:r>
                            <w:r>
                              <w:rPr>
                                <w:rStyle w:val="normaltextrun"/>
                                <w:rFonts w:ascii="Calibri" w:hAnsi="Calibri" w:cs="Calibri"/>
                                <w:color w:val="000000"/>
                                <w:sz w:val="22"/>
                                <w:szCs w:val="22"/>
                              </w:rPr>
                              <w:t xml:space="preserve">) </w:t>
                            </w:r>
                            <w:r w:rsidRPr="007972D7">
                              <w:rPr>
                                <w:rStyle w:val="normaltextrun"/>
                                <w:rFonts w:ascii="Calibri" w:hAnsi="Calibri" w:cs="Calibri"/>
                                <w:color w:val="000000"/>
                                <w:sz w:val="22"/>
                                <w:szCs w:val="22"/>
                              </w:rPr>
                              <w:t xml:space="preserve">upon starting the UPI onboarding </w:t>
                            </w:r>
                            <w:r>
                              <w:rPr>
                                <w:rStyle w:val="normaltextrun"/>
                                <w:rFonts w:ascii="Calibri" w:hAnsi="Calibri" w:cs="Calibri"/>
                                <w:color w:val="000000"/>
                                <w:sz w:val="22"/>
                                <w:szCs w:val="22"/>
                              </w:rPr>
                              <w:t xml:space="preserve">process as they will </w:t>
                            </w:r>
                            <w:r w:rsidRPr="007972D7">
                              <w:rPr>
                                <w:rStyle w:val="normaltextrun"/>
                                <w:rFonts w:ascii="Calibri" w:hAnsi="Calibri" w:cs="Calibri"/>
                                <w:color w:val="000000"/>
                                <w:sz w:val="22"/>
                                <w:szCs w:val="22"/>
                              </w:rPr>
                              <w:t>be interacting with the onboarding system prior to reaching the step of signing the Subscription Form</w:t>
                            </w:r>
                            <w:r>
                              <w:rPr>
                                <w:rStyle w:val="normaltextrun"/>
                                <w:rFonts w:ascii="Calibri" w:hAnsi="Calibri" w:cs="Calibri"/>
                                <w:color w:val="000000"/>
                                <w:sz w:val="22"/>
                                <w:szCs w:val="22"/>
                              </w:rPr>
                              <w:t xml:space="preserve">. </w:t>
                            </w:r>
                          </w:p>
                          <w:p w14:paraId="4BE0DF3D" w14:textId="1168F682" w:rsidR="007625FD" w:rsidRDefault="007625FD" w:rsidP="00A8431C">
                            <w:pPr>
                              <w:jc w:val="both"/>
                              <w:rPr>
                                <w:lang w:val="en-GB"/>
                              </w:rPr>
                            </w:pPr>
                            <w:r>
                              <w:rPr>
                                <w:lang w:val="en-GB"/>
                              </w:rPr>
                              <w:t xml:space="preserve">As part of an effective cost control </w:t>
                            </w:r>
                            <w:r w:rsidRPr="008376D0">
                              <w:rPr>
                                <w:lang w:val="en-GB"/>
                              </w:rPr>
                              <w:t xml:space="preserve">framework, the DSB proposes to limit the number of client staff per fee-paying entity who can be granted role-based access to use the COSP free-of-charge (i.e., included in the User fees) as part of the core cost recovery framework. </w:t>
                            </w:r>
                            <w:r w:rsidRPr="00BC4FBB">
                              <w:rPr>
                                <w:lang w:val="en-GB"/>
                              </w:rPr>
                              <w:t>Subject to industry feedback, the DSB will evaluate whether it should also facilitate staff access for additional employees as an optional service.</w:t>
                            </w:r>
                            <w:r>
                              <w:rPr>
                                <w:lang w:val="en-GB"/>
                              </w:rPr>
                              <w:t xml:space="preserve"> </w:t>
                            </w:r>
                            <w:r w:rsidRPr="002D34DB">
                              <w:rPr>
                                <w:lang w:val="en-GB"/>
                              </w:rPr>
                              <w:t xml:space="preserve">These steps may be completed by </w:t>
                            </w:r>
                            <w:r>
                              <w:rPr>
                                <w:lang w:val="en-GB"/>
                              </w:rPr>
                              <w:t xml:space="preserve">a single or multiple </w:t>
                            </w:r>
                            <w:r w:rsidRPr="002D34DB">
                              <w:rPr>
                                <w:lang w:val="en-GB"/>
                              </w:rPr>
                              <w:t>client member</w:t>
                            </w:r>
                            <w:r>
                              <w:rPr>
                                <w:lang w:val="en-GB"/>
                              </w:rPr>
                              <w:t>(</w:t>
                            </w:r>
                            <w:r w:rsidRPr="002D34DB">
                              <w:rPr>
                                <w:lang w:val="en-GB"/>
                              </w:rPr>
                              <w:t>s</w:t>
                            </w:r>
                            <w:r>
                              <w:rPr>
                                <w:lang w:val="en-GB"/>
                              </w:rPr>
                              <w:t>)</w:t>
                            </w:r>
                            <w:r w:rsidRPr="002D34DB">
                              <w:rPr>
                                <w:lang w:val="en-GB"/>
                              </w:rPr>
                              <w:t xml:space="preserve"> of staff</w:t>
                            </w:r>
                            <w:r>
                              <w:rPr>
                                <w:lang w:val="en-GB"/>
                              </w:rPr>
                              <w:t xml:space="preserve"> with the necessary authority. </w:t>
                            </w:r>
                            <w:r w:rsidRPr="00FF5A99">
                              <w:rPr>
                                <w:lang w:val="en-GB"/>
                              </w:rPr>
                              <w:t xml:space="preserve">The onus is on the member of staff acting on the behalf of a given </w:t>
                            </w:r>
                            <w:r>
                              <w:rPr>
                                <w:lang w:val="en-GB"/>
                              </w:rPr>
                              <w:t>User</w:t>
                            </w:r>
                            <w:r w:rsidRPr="00FF5A99">
                              <w:rPr>
                                <w:lang w:val="en-GB"/>
                              </w:rPr>
                              <w:t xml:space="preserve"> entity to have the necessary authority to do so when, for example </w:t>
                            </w:r>
                            <w:r>
                              <w:rPr>
                                <w:lang w:val="en-GB"/>
                              </w:rPr>
                              <w:t>they</w:t>
                            </w:r>
                            <w:r w:rsidRPr="00FF5A99">
                              <w:rPr>
                                <w:lang w:val="en-GB"/>
                              </w:rPr>
                              <w:t xml:space="preserve"> register for use of the </w:t>
                            </w:r>
                            <w:r>
                              <w:rPr>
                                <w:lang w:val="en-GB"/>
                              </w:rPr>
                              <w:t>COSP</w:t>
                            </w:r>
                            <w:r w:rsidRPr="00FF5A99">
                              <w:rPr>
                                <w:lang w:val="en-GB"/>
                              </w:rPr>
                              <w:t xml:space="preserve">, use the platform, accepts Terms &amp; </w:t>
                            </w:r>
                            <w:proofErr w:type="gramStart"/>
                            <w:r w:rsidRPr="00FF5A99">
                              <w:rPr>
                                <w:lang w:val="en-GB"/>
                              </w:rPr>
                              <w:t>Conditions</w:t>
                            </w:r>
                            <w:proofErr w:type="gramEnd"/>
                            <w:r w:rsidRPr="00FF5A99">
                              <w:rPr>
                                <w:lang w:val="en-GB"/>
                              </w:rPr>
                              <w:t xml:space="preserve"> and execute Subscription Form.</w:t>
                            </w:r>
                          </w:p>
                          <w:p w14:paraId="0EE9CAC5" w14:textId="1EA91BF2" w:rsidR="006A502C" w:rsidRDefault="006A502C" w:rsidP="00A8431C">
                            <w:pPr>
                              <w:jc w:val="both"/>
                              <w:rPr>
                                <w:lang w:val="en-GB"/>
                              </w:rPr>
                            </w:pPr>
                            <w:r>
                              <w:rPr>
                                <w:lang w:val="en-GB"/>
                              </w:rPr>
                              <w:t xml:space="preserve">New OTC ISIN Users will continue to follow the existing manual approach until such a point that there is agreement to a roadmap to roll-out the COSP to OTC ISIN Users. Such a roadmap will be subject to further analysis and </w:t>
                            </w:r>
                            <w:r w:rsidR="00EB643D">
                              <w:rPr>
                                <w:lang w:val="en-GB"/>
                              </w:rPr>
                              <w:t>stakeholder engagement</w:t>
                            </w:r>
                            <w:r>
                              <w:rPr>
                                <w:lang w:val="en-GB"/>
                              </w:rPr>
                              <w:t>.</w:t>
                            </w:r>
                          </w:p>
                          <w:p w14:paraId="2FBA2A14" w14:textId="15560839" w:rsidR="006A502C" w:rsidRDefault="007625FD" w:rsidP="00A8431C">
                            <w:pPr>
                              <w:jc w:val="both"/>
                              <w:rPr>
                                <w:lang w:val="en-GB"/>
                              </w:rPr>
                            </w:pPr>
                            <w:r>
                              <w:rPr>
                                <w:lang w:val="en-GB"/>
                              </w:rPr>
                              <w:t>The DSB expects that Registered Users (who do not pay a fee to use the DSB’s services) will manage their own login to access the UPI Service via the web-based manual (GUI) mechanism. As such, s</w:t>
                            </w:r>
                            <w:r w:rsidRPr="000837D8">
                              <w:rPr>
                                <w:lang w:val="en-GB"/>
                              </w:rPr>
                              <w:t xml:space="preserve">hould </w:t>
                            </w:r>
                            <w:r>
                              <w:rPr>
                                <w:lang w:val="en-GB"/>
                              </w:rPr>
                              <w:t>for example a UPI Registered User change firms, and therefore their email address changes</w:t>
                            </w:r>
                            <w:r w:rsidRPr="000837D8">
                              <w:rPr>
                                <w:lang w:val="en-GB"/>
                              </w:rPr>
                              <w:t xml:space="preserve">, Registered </w:t>
                            </w:r>
                            <w:r>
                              <w:rPr>
                                <w:lang w:val="en-GB"/>
                              </w:rPr>
                              <w:t>User</w:t>
                            </w:r>
                            <w:r w:rsidRPr="000837D8">
                              <w:rPr>
                                <w:lang w:val="en-GB"/>
                              </w:rPr>
                              <w:t>s will be required to re-register</w:t>
                            </w:r>
                            <w:r>
                              <w:rPr>
                                <w:lang w:val="en-GB"/>
                              </w:rPr>
                              <w:t xml:space="preserve"> and create a new account</w:t>
                            </w:r>
                            <w:r w:rsidRPr="000837D8">
                              <w:rPr>
                                <w:lang w:val="en-GB"/>
                              </w:rPr>
                              <w:t>.</w:t>
                            </w:r>
                            <w:r>
                              <w:rPr>
                                <w:lang w:val="en-GB"/>
                              </w:rPr>
                              <w:t xml:space="preserve"> This approach relates to new UPI clients upon launch of the platform. </w:t>
                            </w:r>
                            <w:r w:rsidR="006A7CA2" w:rsidRPr="00D30EA3">
                              <w:rPr>
                                <w:lang w:val="en-GB"/>
                              </w:rPr>
                              <w:t>A roadmap</w:t>
                            </w:r>
                            <w:r w:rsidRPr="00D30EA3">
                              <w:rPr>
                                <w:lang w:val="en-GB"/>
                              </w:rPr>
                              <w:t xml:space="preserve"> to transition to the same approach for new OTC ISIN Registered Users </w:t>
                            </w:r>
                            <w:r w:rsidR="00A27141" w:rsidRPr="00D30EA3">
                              <w:rPr>
                                <w:lang w:val="en-GB"/>
                              </w:rPr>
                              <w:t xml:space="preserve">will be subject to further analysis and </w:t>
                            </w:r>
                            <w:r w:rsidR="007E7BF7" w:rsidRPr="00D30EA3">
                              <w:rPr>
                                <w:lang w:val="en-GB"/>
                              </w:rPr>
                              <w:t>stakeholder engagement</w:t>
                            </w:r>
                            <w:r w:rsidR="00A27141" w:rsidRPr="00D30EA3">
                              <w:rPr>
                                <w:lang w:val="en-GB"/>
                              </w:rPr>
                              <w:t>.</w:t>
                            </w:r>
                          </w:p>
                          <w:p w14:paraId="1F055EA1" w14:textId="77777777" w:rsidR="007625FD" w:rsidRDefault="007625FD" w:rsidP="00A8431C">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3a</w:t>
                            </w:r>
                            <w:r w:rsidRPr="0076032B">
                              <w:rPr>
                                <w:rStyle w:val="normaltextrun"/>
                                <w:rFonts w:cstheme="minorHAnsi"/>
                                <w:b/>
                                <w:bCs/>
                                <w:color w:val="000000"/>
                              </w:rPr>
                              <w:t xml:space="preserve">: </w:t>
                            </w:r>
                            <w:r w:rsidRPr="006929D0">
                              <w:rPr>
                                <w:rStyle w:val="normaltextrun"/>
                                <w:rFonts w:cstheme="minorHAnsi"/>
                                <w:b/>
                                <w:bCs/>
                                <w:i/>
                                <w:iCs/>
                                <w:color w:val="000000"/>
                              </w:rPr>
                              <w:t>Does industry a</w:t>
                            </w:r>
                            <w:r>
                              <w:rPr>
                                <w:rStyle w:val="normaltextrun"/>
                                <w:rFonts w:cstheme="minorHAnsi"/>
                                <w:b/>
                                <w:bCs/>
                                <w:i/>
                                <w:iCs/>
                                <w:color w:val="000000"/>
                              </w:rPr>
                              <w:t>gree with</w:t>
                            </w:r>
                            <w:r w:rsidRPr="006929D0">
                              <w:rPr>
                                <w:rStyle w:val="normaltextrun"/>
                                <w:rFonts w:cstheme="minorHAnsi"/>
                                <w:b/>
                                <w:bCs/>
                                <w:i/>
                                <w:iCs/>
                                <w:color w:val="000000"/>
                              </w:rPr>
                              <w:t xml:space="preserve"> the </w:t>
                            </w:r>
                            <w:r>
                              <w:rPr>
                                <w:rStyle w:val="normaltextrun"/>
                                <w:rFonts w:cstheme="minorHAnsi"/>
                                <w:b/>
                                <w:bCs/>
                                <w:i/>
                                <w:iCs/>
                                <w:color w:val="000000"/>
                              </w:rPr>
                              <w:t>scope</w:t>
                            </w:r>
                            <w:r w:rsidRPr="006929D0">
                              <w:rPr>
                                <w:rStyle w:val="normaltextrun"/>
                                <w:rFonts w:cstheme="minorHAnsi"/>
                                <w:b/>
                                <w:bCs/>
                                <w:i/>
                                <w:iCs/>
                                <w:color w:val="000000"/>
                              </w:rPr>
                              <w:t xml:space="preserve"> of </w:t>
                            </w:r>
                            <w:r>
                              <w:rPr>
                                <w:rStyle w:val="normaltextrun"/>
                                <w:rFonts w:cstheme="minorHAnsi"/>
                                <w:b/>
                                <w:bCs/>
                                <w:i/>
                                <w:iCs/>
                                <w:color w:val="000000"/>
                              </w:rPr>
                              <w:t>the</w:t>
                            </w:r>
                            <w:r w:rsidRPr="006929D0">
                              <w:rPr>
                                <w:rStyle w:val="normaltextrun"/>
                                <w:rFonts w:cstheme="minorHAnsi"/>
                                <w:b/>
                                <w:bCs/>
                                <w:i/>
                                <w:iCs/>
                                <w:color w:val="000000"/>
                              </w:rPr>
                              <w:t xml:space="preserve"> </w:t>
                            </w:r>
                            <w:r>
                              <w:rPr>
                                <w:rStyle w:val="normaltextrun"/>
                                <w:rFonts w:cstheme="minorHAnsi"/>
                                <w:b/>
                                <w:bCs/>
                                <w:i/>
                                <w:iCs/>
                                <w:color w:val="000000"/>
                              </w:rPr>
                              <w:t xml:space="preserve">Platform </w:t>
                            </w:r>
                            <w:r w:rsidRPr="006929D0">
                              <w:rPr>
                                <w:rStyle w:val="normaltextrun"/>
                                <w:rFonts w:cstheme="minorHAnsi"/>
                                <w:b/>
                                <w:bCs/>
                                <w:i/>
                                <w:iCs/>
                                <w:color w:val="000000"/>
                              </w:rPr>
                              <w:t xml:space="preserve">terms and conditions </w:t>
                            </w:r>
                            <w:r>
                              <w:rPr>
                                <w:rStyle w:val="normaltextrun"/>
                                <w:rFonts w:cstheme="minorHAnsi"/>
                                <w:b/>
                                <w:bCs/>
                                <w:i/>
                                <w:iCs/>
                                <w:color w:val="000000"/>
                              </w:rPr>
                              <w:t>at the point of</w:t>
                            </w:r>
                            <w:r w:rsidRPr="006929D0">
                              <w:rPr>
                                <w:rStyle w:val="normaltextrun"/>
                                <w:rFonts w:cstheme="minorHAnsi"/>
                                <w:b/>
                                <w:bCs/>
                                <w:i/>
                                <w:iCs/>
                                <w:color w:val="000000"/>
                              </w:rPr>
                              <w:t xml:space="preserve"> starting the registration process</w:t>
                            </w:r>
                            <w:r>
                              <w:rPr>
                                <w:rStyle w:val="normaltextrun"/>
                                <w:rFonts w:cstheme="minorHAnsi"/>
                                <w:b/>
                                <w:bCs/>
                                <w:i/>
                                <w:iCs/>
                                <w:color w:val="000000"/>
                              </w:rPr>
                              <w:t xml:space="preserve"> on the COSP</w:t>
                            </w:r>
                            <w:r w:rsidRPr="006929D0">
                              <w:rPr>
                                <w:rStyle w:val="normaltextrun"/>
                                <w:rFonts w:cstheme="minorHAnsi"/>
                                <w:b/>
                                <w:bCs/>
                                <w:i/>
                                <w:iCs/>
                                <w:color w:val="000000"/>
                              </w:rPr>
                              <w:t>, to cover use of the platform prior to signing the Access &amp; Usage agreement?</w:t>
                            </w:r>
                            <w:r>
                              <w:rPr>
                                <w:rStyle w:val="normaltextrun"/>
                                <w:rFonts w:cstheme="minorHAnsi"/>
                                <w:b/>
                                <w:bCs/>
                                <w:i/>
                                <w:iCs/>
                                <w:color w:val="000000"/>
                              </w:rPr>
                              <w:t xml:space="preserve"> </w:t>
                            </w:r>
                          </w:p>
                          <w:p w14:paraId="2C0C1876" w14:textId="77777777" w:rsidR="007625FD" w:rsidRDefault="007625FD" w:rsidP="00A8431C">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3b</w:t>
                            </w:r>
                            <w:r w:rsidRPr="0076032B">
                              <w:rPr>
                                <w:rStyle w:val="normaltextrun"/>
                                <w:rFonts w:cstheme="minorHAnsi"/>
                                <w:b/>
                                <w:bCs/>
                                <w:color w:val="000000"/>
                              </w:rPr>
                              <w:t xml:space="preserve">: </w:t>
                            </w:r>
                            <w:r>
                              <w:rPr>
                                <w:rStyle w:val="normaltextrun"/>
                                <w:rFonts w:cstheme="minorHAnsi"/>
                                <w:b/>
                                <w:bCs/>
                                <w:i/>
                                <w:iCs/>
                                <w:color w:val="000000"/>
                              </w:rPr>
                              <w:t>Are there other terms you would expect to see reflected? Please provide a clear rational for any proposed additions or amendments.</w:t>
                            </w:r>
                          </w:p>
                          <w:p w14:paraId="671335C4" w14:textId="77777777" w:rsidR="007625FD" w:rsidRDefault="007625FD" w:rsidP="00A8431C">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3c</w:t>
                            </w:r>
                            <w:r w:rsidRPr="0076032B">
                              <w:rPr>
                                <w:rStyle w:val="normaltextrun"/>
                                <w:rFonts w:cstheme="minorHAnsi"/>
                                <w:b/>
                                <w:bCs/>
                                <w:color w:val="000000"/>
                              </w:rPr>
                              <w:t xml:space="preserve">: </w:t>
                            </w:r>
                            <w:r w:rsidRPr="00A733FA">
                              <w:rPr>
                                <w:rStyle w:val="normaltextrun"/>
                                <w:rFonts w:cstheme="minorHAnsi"/>
                                <w:b/>
                                <w:bCs/>
                                <w:i/>
                                <w:iCs/>
                                <w:color w:val="000000"/>
                              </w:rPr>
                              <w:t xml:space="preserve">Does </w:t>
                            </w:r>
                            <w:r>
                              <w:rPr>
                                <w:rStyle w:val="normaltextrun"/>
                                <w:rFonts w:cstheme="minorHAnsi"/>
                                <w:b/>
                                <w:bCs/>
                                <w:i/>
                                <w:iCs/>
                                <w:color w:val="000000"/>
                              </w:rPr>
                              <w:t xml:space="preserve">you </w:t>
                            </w:r>
                            <w:r w:rsidRPr="00A733FA">
                              <w:rPr>
                                <w:rStyle w:val="normaltextrun"/>
                                <w:rFonts w:cstheme="minorHAnsi"/>
                                <w:b/>
                                <w:bCs/>
                                <w:i/>
                                <w:iCs/>
                                <w:color w:val="000000"/>
                              </w:rPr>
                              <w:t>think that a fair approach would be to cap the number roles</w:t>
                            </w:r>
                            <w:r>
                              <w:rPr>
                                <w:rStyle w:val="normaltextrun"/>
                                <w:rFonts w:cstheme="minorHAnsi"/>
                                <w:b/>
                                <w:bCs/>
                                <w:i/>
                                <w:iCs/>
                                <w:color w:val="000000"/>
                              </w:rPr>
                              <w:t xml:space="preserve"> made available to fee-paying clients to use the COSP</w:t>
                            </w:r>
                            <w:r w:rsidRPr="00A733FA">
                              <w:rPr>
                                <w:rStyle w:val="normaltextrun"/>
                                <w:rFonts w:cstheme="minorHAnsi"/>
                                <w:b/>
                                <w:bCs/>
                                <w:i/>
                                <w:iCs/>
                                <w:color w:val="000000"/>
                              </w:rPr>
                              <w:t xml:space="preserve">, and to tier these limits of how many can be assigned per client entity based on </w:t>
                            </w:r>
                            <w:r w:rsidRPr="00A733FA" w:rsidDel="00D3207B">
                              <w:rPr>
                                <w:rStyle w:val="normaltextrun"/>
                                <w:rFonts w:cstheme="minorHAnsi"/>
                                <w:b/>
                                <w:bCs/>
                                <w:i/>
                                <w:iCs/>
                                <w:color w:val="000000"/>
                              </w:rPr>
                              <w:t>User</w:t>
                            </w:r>
                            <w:r w:rsidRPr="00A733FA">
                              <w:rPr>
                                <w:rStyle w:val="normaltextrun"/>
                                <w:rFonts w:cstheme="minorHAnsi"/>
                                <w:b/>
                                <w:bCs/>
                                <w:i/>
                                <w:iCs/>
                                <w:color w:val="000000"/>
                              </w:rPr>
                              <w:t xml:space="preserve"> Type?</w:t>
                            </w:r>
                          </w:p>
                          <w:p w14:paraId="6702844E" w14:textId="77777777" w:rsidR="007625FD" w:rsidRPr="00AD1FAE" w:rsidRDefault="007625FD" w:rsidP="00A8431C">
                            <w:pPr>
                              <w:jc w:val="both"/>
                              <w:rPr>
                                <w:rStyle w:val="normaltextrun"/>
                                <w:rFonts w:cstheme="minorHAnsi"/>
                                <w:b/>
                                <w:i/>
                                <w:color w:val="000000"/>
                              </w:rPr>
                            </w:pPr>
                            <w:r w:rsidRPr="0076032B">
                              <w:rPr>
                                <w:rStyle w:val="normaltextrun"/>
                                <w:rFonts w:cstheme="minorHAnsi"/>
                                <w:b/>
                                <w:bCs/>
                                <w:color w:val="000000"/>
                              </w:rPr>
                              <w:t>Question</w:t>
                            </w:r>
                            <w:r>
                              <w:rPr>
                                <w:rStyle w:val="normaltextrun"/>
                                <w:rFonts w:cstheme="minorHAnsi"/>
                                <w:b/>
                                <w:bCs/>
                                <w:color w:val="000000"/>
                              </w:rPr>
                              <w:t xml:space="preserve"> 3d</w:t>
                            </w:r>
                            <w:r w:rsidRPr="0076032B">
                              <w:rPr>
                                <w:rStyle w:val="normaltextrun"/>
                                <w:rFonts w:cstheme="minorHAnsi"/>
                                <w:b/>
                                <w:bCs/>
                                <w:color w:val="000000"/>
                              </w:rPr>
                              <w:t xml:space="preserve">: </w:t>
                            </w:r>
                            <w:r>
                              <w:rPr>
                                <w:rStyle w:val="normaltextrun"/>
                                <w:rFonts w:cstheme="minorHAnsi"/>
                                <w:b/>
                                <w:bCs/>
                                <w:i/>
                                <w:iCs/>
                                <w:color w:val="000000"/>
                              </w:rPr>
                              <w:t>If not, please outline an alternative approach, including clear rationale for your proposal.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41E9CC" id="_x0000_s1029" type="#_x0000_t202" style="position:absolute;left:0;text-align:left;margin-left:.55pt;margin-top:21.95pt;width:450.15pt;height:110.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" strokecolor="#04aeb9">
                <v:textbox style="mso-fit-shape-to-text:t">
                  <w:txbxContent>
                    <w:p w14:paraId="2E35BDFB"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6E6BDE84" w14:textId="7E8FFEC3" w:rsidR="007625FD" w:rsidRDefault="007625FD" w:rsidP="00A8431C">
                      <w:pPr>
                        <w:pStyle w:val="paragraph"/>
                        <w:spacing w:before="240" w:beforeAutospacing="0" w:after="120" w:afterAutospacing="0" w:line="276" w:lineRule="auto"/>
                        <w:jc w:val="both"/>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The </w:t>
                      </w:r>
                      <w:r w:rsidRPr="008E5209">
                        <w:rPr>
                          <w:rStyle w:val="normaltextrun"/>
                          <w:rFonts w:ascii="Calibri" w:hAnsi="Calibri" w:cs="Calibri"/>
                          <w:color w:val="000000"/>
                          <w:sz w:val="22"/>
                          <w:szCs w:val="22"/>
                        </w:rPr>
                        <w:t xml:space="preserve">default onboarding approach for prospective fee-paying UPI clients </w:t>
                      </w:r>
                      <w:r>
                        <w:rPr>
                          <w:rStyle w:val="normaltextrun"/>
                          <w:rFonts w:ascii="Calibri" w:hAnsi="Calibri" w:cs="Calibri"/>
                          <w:color w:val="000000"/>
                          <w:sz w:val="22"/>
                          <w:szCs w:val="22"/>
                        </w:rPr>
                        <w:t>is proposed to</w:t>
                      </w:r>
                      <w:r w:rsidRPr="008E5209">
                        <w:rPr>
                          <w:rStyle w:val="normaltextrun"/>
                          <w:rFonts w:ascii="Calibri" w:hAnsi="Calibri" w:cs="Calibri"/>
                          <w:color w:val="000000"/>
                          <w:sz w:val="22"/>
                          <w:szCs w:val="22"/>
                        </w:rPr>
                        <w:t xml:space="preserve"> be t</w:t>
                      </w:r>
                      <w:r>
                        <w:rPr>
                          <w:rStyle w:val="normaltextrun"/>
                          <w:rFonts w:ascii="Calibri" w:hAnsi="Calibri" w:cs="Calibri"/>
                          <w:color w:val="000000"/>
                          <w:sz w:val="22"/>
                          <w:szCs w:val="22"/>
                        </w:rPr>
                        <w:t>he</w:t>
                      </w:r>
                      <w:r w:rsidRPr="008E5209">
                        <w:rPr>
                          <w:rStyle w:val="normaltextrun"/>
                          <w:rFonts w:ascii="Calibri" w:hAnsi="Calibri" w:cs="Calibri"/>
                          <w:color w:val="000000"/>
                          <w:sz w:val="22"/>
                          <w:szCs w:val="22"/>
                        </w:rPr>
                        <w:t xml:space="preserve"> use</w:t>
                      </w:r>
                      <w:r>
                        <w:rPr>
                          <w:rStyle w:val="normaltextrun"/>
                          <w:rFonts w:ascii="Calibri" w:hAnsi="Calibri" w:cs="Calibri"/>
                          <w:color w:val="000000"/>
                          <w:sz w:val="22"/>
                          <w:szCs w:val="22"/>
                        </w:rPr>
                        <w:t xml:space="preserve"> of</w:t>
                      </w:r>
                      <w:r w:rsidRPr="008E5209">
                        <w:rPr>
                          <w:rStyle w:val="normaltextrun"/>
                          <w:rFonts w:ascii="Calibri" w:hAnsi="Calibri" w:cs="Calibri"/>
                          <w:color w:val="000000"/>
                          <w:sz w:val="22"/>
                          <w:szCs w:val="22"/>
                        </w:rPr>
                        <w:t xml:space="preserve"> the DSB's Client </w:t>
                      </w:r>
                      <w:r>
                        <w:rPr>
                          <w:rStyle w:val="normaltextrun"/>
                          <w:rFonts w:ascii="Calibri" w:hAnsi="Calibri" w:cs="Calibri"/>
                          <w:color w:val="000000"/>
                          <w:sz w:val="22"/>
                          <w:szCs w:val="22"/>
                        </w:rPr>
                        <w:t>Onboarding</w:t>
                      </w:r>
                      <w:r w:rsidRPr="008E5209">
                        <w:rPr>
                          <w:rStyle w:val="normaltextrun"/>
                          <w:rFonts w:ascii="Calibri" w:hAnsi="Calibri" w:cs="Calibri"/>
                          <w:color w:val="000000"/>
                          <w:sz w:val="22"/>
                          <w:szCs w:val="22"/>
                        </w:rPr>
                        <w:t xml:space="preserve"> and Support Platform (</w:t>
                      </w:r>
                      <w:r>
                        <w:rPr>
                          <w:rStyle w:val="normaltextrun"/>
                          <w:rFonts w:ascii="Calibri" w:hAnsi="Calibri" w:cs="Calibri"/>
                          <w:color w:val="000000"/>
                          <w:sz w:val="22"/>
                          <w:szCs w:val="22"/>
                        </w:rPr>
                        <w:t>COSP</w:t>
                      </w:r>
                      <w:r w:rsidRPr="008E5209">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t xml:space="preserve">- set out in section </w:t>
                      </w:r>
                      <w:r>
                        <w:rPr>
                          <w:rStyle w:val="normaltextrun"/>
                          <w:rFonts w:ascii="Calibri" w:hAnsi="Calibri" w:cs="Calibri"/>
                          <w:color w:val="000000"/>
                          <w:sz w:val="22"/>
                          <w:szCs w:val="22"/>
                        </w:rPr>
                        <w:fldChar w:fldCharType="begin"/>
                      </w:r>
                      <w:r>
                        <w:rPr>
                          <w:rStyle w:val="normaltextrun"/>
                          <w:rFonts w:ascii="Calibri" w:hAnsi="Calibri" w:cs="Calibri"/>
                          <w:color w:val="000000"/>
                          <w:sz w:val="22"/>
                          <w:szCs w:val="22"/>
                        </w:rPr>
                        <w:instrText xml:space="preserve"> REF _Ref84249452 \r \h </w:instrText>
                      </w:r>
                      <w:r>
                        <w:rPr>
                          <w:rStyle w:val="normaltextrun"/>
                          <w:rFonts w:ascii="Calibri" w:hAnsi="Calibri" w:cs="Calibri"/>
                          <w:color w:val="000000"/>
                          <w:sz w:val="22"/>
                          <w:szCs w:val="22"/>
                        </w:rPr>
                      </w:r>
                      <w:r w:rsidR="00A8431C">
                        <w:rPr>
                          <w:rStyle w:val="normaltextrun"/>
                          <w:rFonts w:ascii="Calibri" w:hAnsi="Calibri" w:cs="Calibri"/>
                          <w:color w:val="000000"/>
                          <w:sz w:val="22"/>
                          <w:szCs w:val="22"/>
                        </w:rPr>
                        <w:instrText xml:space="preserve"> \* MERGEFORMAT </w:instrText>
                      </w:r>
                      <w:r>
                        <w:rPr>
                          <w:rStyle w:val="normaltextrun"/>
                          <w:rFonts w:ascii="Calibri" w:hAnsi="Calibri" w:cs="Calibri"/>
                          <w:color w:val="000000"/>
                          <w:sz w:val="22"/>
                          <w:szCs w:val="22"/>
                        </w:rPr>
                        <w:fldChar w:fldCharType="separate"/>
                      </w:r>
                      <w:r>
                        <w:rPr>
                          <w:rStyle w:val="normaltextrun"/>
                          <w:rFonts w:ascii="Calibri" w:hAnsi="Calibri" w:cs="Calibri"/>
                          <w:color w:val="000000"/>
                          <w:sz w:val="22"/>
                          <w:szCs w:val="22"/>
                        </w:rPr>
                        <w:t>5.1</w:t>
                      </w:r>
                      <w:r>
                        <w:rPr>
                          <w:rStyle w:val="normaltextrun"/>
                          <w:rFonts w:ascii="Calibri" w:hAnsi="Calibri" w:cs="Calibri"/>
                          <w:color w:val="000000"/>
                          <w:sz w:val="22"/>
                          <w:szCs w:val="22"/>
                        </w:rPr>
                        <w:fldChar w:fldCharType="end"/>
                      </w:r>
                      <w:r>
                        <w:rPr>
                          <w:rStyle w:val="normaltextrun"/>
                          <w:rFonts w:ascii="Calibri" w:hAnsi="Calibri" w:cs="Calibri"/>
                          <w:color w:val="000000"/>
                          <w:sz w:val="22"/>
                          <w:szCs w:val="22"/>
                        </w:rPr>
                        <w:t xml:space="preserve"> of this consultation - </w:t>
                      </w:r>
                      <w:r w:rsidRPr="008E5209">
                        <w:rPr>
                          <w:rStyle w:val="normaltextrun"/>
                          <w:rFonts w:ascii="Calibri" w:hAnsi="Calibri" w:cs="Calibri"/>
                          <w:color w:val="000000"/>
                          <w:sz w:val="22"/>
                          <w:szCs w:val="22"/>
                        </w:rPr>
                        <w:t>to select the User Type(s) to which the</w:t>
                      </w:r>
                      <w:r>
                        <w:rPr>
                          <w:rStyle w:val="normaltextrun"/>
                          <w:rFonts w:ascii="Calibri" w:hAnsi="Calibri" w:cs="Calibri"/>
                          <w:color w:val="000000"/>
                          <w:sz w:val="22"/>
                          <w:szCs w:val="22"/>
                        </w:rPr>
                        <w:t xml:space="preserve"> legal entit</w:t>
                      </w:r>
                      <w:r w:rsidRPr="008E5209">
                        <w:rPr>
                          <w:rStyle w:val="normaltextrun"/>
                          <w:rFonts w:ascii="Calibri" w:hAnsi="Calibri" w:cs="Calibri"/>
                          <w:color w:val="000000"/>
                          <w:sz w:val="22"/>
                          <w:szCs w:val="22"/>
                        </w:rPr>
                        <w:t>y wish</w:t>
                      </w:r>
                      <w:r>
                        <w:rPr>
                          <w:rStyle w:val="normaltextrun"/>
                          <w:rFonts w:ascii="Calibri" w:hAnsi="Calibri" w:cs="Calibri"/>
                          <w:color w:val="000000"/>
                          <w:sz w:val="22"/>
                          <w:szCs w:val="22"/>
                        </w:rPr>
                        <w:t>es</w:t>
                      </w:r>
                      <w:r w:rsidRPr="008E5209">
                        <w:rPr>
                          <w:rStyle w:val="normaltextrun"/>
                          <w:rFonts w:ascii="Calibri" w:hAnsi="Calibri" w:cs="Calibri"/>
                          <w:color w:val="000000"/>
                          <w:sz w:val="22"/>
                          <w:szCs w:val="22"/>
                        </w:rPr>
                        <w:t xml:space="preserve"> to subscribe and complete the</w:t>
                      </w:r>
                      <w:r>
                        <w:rPr>
                          <w:rStyle w:val="normaltextrun"/>
                          <w:rFonts w:ascii="Calibri" w:hAnsi="Calibri" w:cs="Calibri"/>
                          <w:color w:val="000000"/>
                          <w:sz w:val="22"/>
                          <w:szCs w:val="22"/>
                        </w:rPr>
                        <w:t xml:space="preserve"> administrative</w:t>
                      </w:r>
                      <w:r w:rsidRPr="008E5209">
                        <w:rPr>
                          <w:rStyle w:val="normaltextrun"/>
                          <w:rFonts w:ascii="Calibri" w:hAnsi="Calibri" w:cs="Calibri"/>
                          <w:color w:val="000000"/>
                          <w:sz w:val="22"/>
                          <w:szCs w:val="22"/>
                        </w:rPr>
                        <w:t xml:space="preserve"> onboarding </w:t>
                      </w:r>
                      <w:r>
                        <w:rPr>
                          <w:rStyle w:val="normaltextrun"/>
                          <w:rFonts w:ascii="Calibri" w:hAnsi="Calibri" w:cs="Calibri"/>
                          <w:color w:val="000000"/>
                          <w:sz w:val="22"/>
                          <w:szCs w:val="22"/>
                        </w:rPr>
                        <w:t>steps</w:t>
                      </w:r>
                      <w:r w:rsidRPr="008E5209">
                        <w:rPr>
                          <w:rStyle w:val="normaltextrun"/>
                          <w:rFonts w:ascii="Calibri" w:hAnsi="Calibri" w:cs="Calibri"/>
                          <w:color w:val="000000"/>
                          <w:sz w:val="22"/>
                          <w:szCs w:val="22"/>
                        </w:rPr>
                        <w:t>.</w:t>
                      </w:r>
                      <w:r w:rsidR="00D30EA3">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t>If the proposal is endorsed by industry, clients</w:t>
                      </w:r>
                      <w:r w:rsidRPr="007972D7">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t xml:space="preserve">of the </w:t>
                      </w:r>
                      <w:r w:rsidR="00F07F21">
                        <w:rPr>
                          <w:rStyle w:val="normaltextrun"/>
                          <w:rFonts w:ascii="Calibri" w:hAnsi="Calibri" w:cs="Calibri"/>
                          <w:color w:val="000000"/>
                          <w:sz w:val="22"/>
                          <w:szCs w:val="22"/>
                        </w:rPr>
                        <w:t>UPI Service</w:t>
                      </w:r>
                      <w:r w:rsidRPr="007972D7">
                        <w:rPr>
                          <w:rStyle w:val="normaltextrun"/>
                          <w:rFonts w:ascii="Calibri" w:hAnsi="Calibri" w:cs="Calibri"/>
                          <w:color w:val="000000"/>
                          <w:sz w:val="22"/>
                          <w:szCs w:val="22"/>
                        </w:rPr>
                        <w:t xml:space="preserve"> will be asked to accept a set of </w:t>
                      </w:r>
                      <w:r>
                        <w:rPr>
                          <w:rStyle w:val="normaltextrun"/>
                          <w:rFonts w:ascii="Calibri" w:hAnsi="Calibri" w:cs="Calibri"/>
                          <w:color w:val="000000"/>
                          <w:sz w:val="22"/>
                          <w:szCs w:val="22"/>
                        </w:rPr>
                        <w:t>COSP</w:t>
                      </w:r>
                      <w:r w:rsidRPr="007972D7">
                        <w:rPr>
                          <w:rStyle w:val="normaltextrun"/>
                          <w:rFonts w:ascii="Calibri" w:hAnsi="Calibri" w:cs="Calibri"/>
                          <w:color w:val="000000"/>
                          <w:sz w:val="22"/>
                          <w:szCs w:val="22"/>
                        </w:rPr>
                        <w:t xml:space="preserve"> Platform Terms (</w:t>
                      </w:r>
                      <w:r>
                        <w:rPr>
                          <w:rStyle w:val="normaltextrun"/>
                          <w:rFonts w:ascii="Calibri" w:hAnsi="Calibri" w:cs="Calibri"/>
                          <w:color w:val="000000"/>
                          <w:sz w:val="22"/>
                          <w:szCs w:val="22"/>
                        </w:rPr>
                        <w:t xml:space="preserve">aligned to the </w:t>
                      </w:r>
                      <w:r w:rsidRPr="00637067">
                        <w:rPr>
                          <w:rStyle w:val="normaltextrun"/>
                          <w:rFonts w:ascii="Calibri" w:hAnsi="Calibri" w:cs="Calibri"/>
                          <w:color w:val="000000"/>
                          <w:sz w:val="22"/>
                          <w:szCs w:val="22"/>
                        </w:rPr>
                        <w:t>Main Terms and Policies</w:t>
                      </w:r>
                      <w:r>
                        <w:rPr>
                          <w:rStyle w:val="normaltextrun"/>
                          <w:rFonts w:ascii="Calibri" w:hAnsi="Calibri" w:cs="Calibri"/>
                          <w:color w:val="000000"/>
                          <w:sz w:val="22"/>
                          <w:szCs w:val="22"/>
                        </w:rPr>
                        <w:t xml:space="preserve">) </w:t>
                      </w:r>
                      <w:r w:rsidRPr="007972D7">
                        <w:rPr>
                          <w:rStyle w:val="normaltextrun"/>
                          <w:rFonts w:ascii="Calibri" w:hAnsi="Calibri" w:cs="Calibri"/>
                          <w:color w:val="000000"/>
                          <w:sz w:val="22"/>
                          <w:szCs w:val="22"/>
                        </w:rPr>
                        <w:t xml:space="preserve">upon starting the UPI onboarding </w:t>
                      </w:r>
                      <w:r>
                        <w:rPr>
                          <w:rStyle w:val="normaltextrun"/>
                          <w:rFonts w:ascii="Calibri" w:hAnsi="Calibri" w:cs="Calibri"/>
                          <w:color w:val="000000"/>
                          <w:sz w:val="22"/>
                          <w:szCs w:val="22"/>
                        </w:rPr>
                        <w:t xml:space="preserve">process as they will </w:t>
                      </w:r>
                      <w:r w:rsidRPr="007972D7">
                        <w:rPr>
                          <w:rStyle w:val="normaltextrun"/>
                          <w:rFonts w:ascii="Calibri" w:hAnsi="Calibri" w:cs="Calibri"/>
                          <w:color w:val="000000"/>
                          <w:sz w:val="22"/>
                          <w:szCs w:val="22"/>
                        </w:rPr>
                        <w:t>be interacting with the onboarding system prior to reaching the step of signing the Subscription Form</w:t>
                      </w:r>
                      <w:r>
                        <w:rPr>
                          <w:rStyle w:val="normaltextrun"/>
                          <w:rFonts w:ascii="Calibri" w:hAnsi="Calibri" w:cs="Calibri"/>
                          <w:color w:val="000000"/>
                          <w:sz w:val="22"/>
                          <w:szCs w:val="22"/>
                        </w:rPr>
                        <w:t xml:space="preserve">. </w:t>
                      </w:r>
                    </w:p>
                    <w:p w14:paraId="4BE0DF3D" w14:textId="1168F682" w:rsidR="007625FD" w:rsidRDefault="007625FD" w:rsidP="00A8431C">
                      <w:pPr>
                        <w:jc w:val="both"/>
                        <w:rPr>
                          <w:lang w:val="en-GB"/>
                        </w:rPr>
                      </w:pPr>
                      <w:r>
                        <w:rPr>
                          <w:lang w:val="en-GB"/>
                        </w:rPr>
                        <w:t xml:space="preserve">As part of an effective cost control </w:t>
                      </w:r>
                      <w:r w:rsidRPr="008376D0">
                        <w:rPr>
                          <w:lang w:val="en-GB"/>
                        </w:rPr>
                        <w:t xml:space="preserve">framework, the DSB proposes to limit the number of client staff per fee-paying entity who can be granted role-based access to use the COSP free-of-charge (i.e., included in the User fees) as part of the core cost recovery framework. </w:t>
                      </w:r>
                      <w:r w:rsidRPr="00BC4FBB">
                        <w:rPr>
                          <w:lang w:val="en-GB"/>
                        </w:rPr>
                        <w:t>Subject to industry feedback, the DSB will evaluate whether it should also facilitate staff access for additional employees as an optional service.</w:t>
                      </w:r>
                      <w:r>
                        <w:rPr>
                          <w:lang w:val="en-GB"/>
                        </w:rPr>
                        <w:t xml:space="preserve"> </w:t>
                      </w:r>
                      <w:r w:rsidRPr="002D34DB">
                        <w:rPr>
                          <w:lang w:val="en-GB"/>
                        </w:rPr>
                        <w:t xml:space="preserve">These steps may be completed by </w:t>
                      </w:r>
                      <w:r>
                        <w:rPr>
                          <w:lang w:val="en-GB"/>
                        </w:rPr>
                        <w:t xml:space="preserve">a single or multiple </w:t>
                      </w:r>
                      <w:r w:rsidRPr="002D34DB">
                        <w:rPr>
                          <w:lang w:val="en-GB"/>
                        </w:rPr>
                        <w:t>client member</w:t>
                      </w:r>
                      <w:r>
                        <w:rPr>
                          <w:lang w:val="en-GB"/>
                        </w:rPr>
                        <w:t>(</w:t>
                      </w:r>
                      <w:r w:rsidRPr="002D34DB">
                        <w:rPr>
                          <w:lang w:val="en-GB"/>
                        </w:rPr>
                        <w:t>s</w:t>
                      </w:r>
                      <w:r>
                        <w:rPr>
                          <w:lang w:val="en-GB"/>
                        </w:rPr>
                        <w:t>)</w:t>
                      </w:r>
                      <w:r w:rsidRPr="002D34DB">
                        <w:rPr>
                          <w:lang w:val="en-GB"/>
                        </w:rPr>
                        <w:t xml:space="preserve"> of staff</w:t>
                      </w:r>
                      <w:r>
                        <w:rPr>
                          <w:lang w:val="en-GB"/>
                        </w:rPr>
                        <w:t xml:space="preserve"> with the necessary authority. </w:t>
                      </w:r>
                      <w:r w:rsidRPr="00FF5A99">
                        <w:rPr>
                          <w:lang w:val="en-GB"/>
                        </w:rPr>
                        <w:t xml:space="preserve">The onus is on the member of staff acting on the behalf of a given </w:t>
                      </w:r>
                      <w:r>
                        <w:rPr>
                          <w:lang w:val="en-GB"/>
                        </w:rPr>
                        <w:t>User</w:t>
                      </w:r>
                      <w:r w:rsidRPr="00FF5A99">
                        <w:rPr>
                          <w:lang w:val="en-GB"/>
                        </w:rPr>
                        <w:t xml:space="preserve"> entity to have the necessary authority to do so when, for example </w:t>
                      </w:r>
                      <w:r>
                        <w:rPr>
                          <w:lang w:val="en-GB"/>
                        </w:rPr>
                        <w:t>they</w:t>
                      </w:r>
                      <w:r w:rsidRPr="00FF5A99">
                        <w:rPr>
                          <w:lang w:val="en-GB"/>
                        </w:rPr>
                        <w:t xml:space="preserve"> register for use of the </w:t>
                      </w:r>
                      <w:r>
                        <w:rPr>
                          <w:lang w:val="en-GB"/>
                        </w:rPr>
                        <w:t>COSP</w:t>
                      </w:r>
                      <w:r w:rsidRPr="00FF5A99">
                        <w:rPr>
                          <w:lang w:val="en-GB"/>
                        </w:rPr>
                        <w:t xml:space="preserve">, use the platform, accepts Terms &amp; </w:t>
                      </w:r>
                      <w:proofErr w:type="gramStart"/>
                      <w:r w:rsidRPr="00FF5A99">
                        <w:rPr>
                          <w:lang w:val="en-GB"/>
                        </w:rPr>
                        <w:t>Conditions</w:t>
                      </w:r>
                      <w:proofErr w:type="gramEnd"/>
                      <w:r w:rsidRPr="00FF5A99">
                        <w:rPr>
                          <w:lang w:val="en-GB"/>
                        </w:rPr>
                        <w:t xml:space="preserve"> and execute Subscription Form.</w:t>
                      </w:r>
                    </w:p>
                    <w:p w14:paraId="0EE9CAC5" w14:textId="1EA91BF2" w:rsidR="006A502C" w:rsidRDefault="006A502C" w:rsidP="00A8431C">
                      <w:pPr>
                        <w:jc w:val="both"/>
                        <w:rPr>
                          <w:lang w:val="en-GB"/>
                        </w:rPr>
                      </w:pPr>
                      <w:r>
                        <w:rPr>
                          <w:lang w:val="en-GB"/>
                        </w:rPr>
                        <w:t xml:space="preserve">New OTC ISIN Users will continue to follow the existing manual approach until such a point that there is agreement to a roadmap to roll-out the COSP to OTC ISIN Users. Such a roadmap will be subject to further analysis and </w:t>
                      </w:r>
                      <w:r w:rsidR="00EB643D">
                        <w:rPr>
                          <w:lang w:val="en-GB"/>
                        </w:rPr>
                        <w:t>stakeholder engagement</w:t>
                      </w:r>
                      <w:r>
                        <w:rPr>
                          <w:lang w:val="en-GB"/>
                        </w:rPr>
                        <w:t>.</w:t>
                      </w:r>
                    </w:p>
                    <w:p w14:paraId="2FBA2A14" w14:textId="15560839" w:rsidR="006A502C" w:rsidRDefault="007625FD" w:rsidP="00A8431C">
                      <w:pPr>
                        <w:jc w:val="both"/>
                        <w:rPr>
                          <w:lang w:val="en-GB"/>
                        </w:rPr>
                      </w:pPr>
                      <w:r>
                        <w:rPr>
                          <w:lang w:val="en-GB"/>
                        </w:rPr>
                        <w:t>The DSB expects that Registered Users (who do not pay a fee to use the DSB’s services) will manage their own login to access the UPI Service via the web-based manual (GUI) mechanism. As such, s</w:t>
                      </w:r>
                      <w:r w:rsidRPr="000837D8">
                        <w:rPr>
                          <w:lang w:val="en-GB"/>
                        </w:rPr>
                        <w:t xml:space="preserve">hould </w:t>
                      </w:r>
                      <w:r>
                        <w:rPr>
                          <w:lang w:val="en-GB"/>
                        </w:rPr>
                        <w:t>for example a UPI Registered User change firms, and therefore their email address changes</w:t>
                      </w:r>
                      <w:r w:rsidRPr="000837D8">
                        <w:rPr>
                          <w:lang w:val="en-GB"/>
                        </w:rPr>
                        <w:t xml:space="preserve">, Registered </w:t>
                      </w:r>
                      <w:r>
                        <w:rPr>
                          <w:lang w:val="en-GB"/>
                        </w:rPr>
                        <w:t>User</w:t>
                      </w:r>
                      <w:r w:rsidRPr="000837D8">
                        <w:rPr>
                          <w:lang w:val="en-GB"/>
                        </w:rPr>
                        <w:t>s will be required to re-register</w:t>
                      </w:r>
                      <w:r>
                        <w:rPr>
                          <w:lang w:val="en-GB"/>
                        </w:rPr>
                        <w:t xml:space="preserve"> and create a new account</w:t>
                      </w:r>
                      <w:r w:rsidRPr="000837D8">
                        <w:rPr>
                          <w:lang w:val="en-GB"/>
                        </w:rPr>
                        <w:t>.</w:t>
                      </w:r>
                      <w:r>
                        <w:rPr>
                          <w:lang w:val="en-GB"/>
                        </w:rPr>
                        <w:t xml:space="preserve"> This approach relates to new UPI clients upon launch of the platform. </w:t>
                      </w:r>
                      <w:r w:rsidR="006A7CA2" w:rsidRPr="00D30EA3">
                        <w:rPr>
                          <w:lang w:val="en-GB"/>
                        </w:rPr>
                        <w:t>A roadmap</w:t>
                      </w:r>
                      <w:r w:rsidRPr="00D30EA3">
                        <w:rPr>
                          <w:lang w:val="en-GB"/>
                        </w:rPr>
                        <w:t xml:space="preserve"> to transition to the same approach for new OTC ISIN Registered Users </w:t>
                      </w:r>
                      <w:r w:rsidR="00A27141" w:rsidRPr="00D30EA3">
                        <w:rPr>
                          <w:lang w:val="en-GB"/>
                        </w:rPr>
                        <w:t xml:space="preserve">will be subject to further analysis and </w:t>
                      </w:r>
                      <w:r w:rsidR="007E7BF7" w:rsidRPr="00D30EA3">
                        <w:rPr>
                          <w:lang w:val="en-GB"/>
                        </w:rPr>
                        <w:t>stakeholder engagement</w:t>
                      </w:r>
                      <w:r w:rsidR="00A27141" w:rsidRPr="00D30EA3">
                        <w:rPr>
                          <w:lang w:val="en-GB"/>
                        </w:rPr>
                        <w:t>.</w:t>
                      </w:r>
                    </w:p>
                    <w:p w14:paraId="1F055EA1" w14:textId="77777777" w:rsidR="007625FD" w:rsidRDefault="007625FD" w:rsidP="00A8431C">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3a</w:t>
                      </w:r>
                      <w:r w:rsidRPr="0076032B">
                        <w:rPr>
                          <w:rStyle w:val="normaltextrun"/>
                          <w:rFonts w:cstheme="minorHAnsi"/>
                          <w:b/>
                          <w:bCs/>
                          <w:color w:val="000000"/>
                        </w:rPr>
                        <w:t xml:space="preserve">: </w:t>
                      </w:r>
                      <w:r w:rsidRPr="006929D0">
                        <w:rPr>
                          <w:rStyle w:val="normaltextrun"/>
                          <w:rFonts w:cstheme="minorHAnsi"/>
                          <w:b/>
                          <w:bCs/>
                          <w:i/>
                          <w:iCs/>
                          <w:color w:val="000000"/>
                        </w:rPr>
                        <w:t>Does industry a</w:t>
                      </w:r>
                      <w:r>
                        <w:rPr>
                          <w:rStyle w:val="normaltextrun"/>
                          <w:rFonts w:cstheme="minorHAnsi"/>
                          <w:b/>
                          <w:bCs/>
                          <w:i/>
                          <w:iCs/>
                          <w:color w:val="000000"/>
                        </w:rPr>
                        <w:t>gree with</w:t>
                      </w:r>
                      <w:r w:rsidRPr="006929D0">
                        <w:rPr>
                          <w:rStyle w:val="normaltextrun"/>
                          <w:rFonts w:cstheme="minorHAnsi"/>
                          <w:b/>
                          <w:bCs/>
                          <w:i/>
                          <w:iCs/>
                          <w:color w:val="000000"/>
                        </w:rPr>
                        <w:t xml:space="preserve"> the </w:t>
                      </w:r>
                      <w:r>
                        <w:rPr>
                          <w:rStyle w:val="normaltextrun"/>
                          <w:rFonts w:cstheme="minorHAnsi"/>
                          <w:b/>
                          <w:bCs/>
                          <w:i/>
                          <w:iCs/>
                          <w:color w:val="000000"/>
                        </w:rPr>
                        <w:t>scope</w:t>
                      </w:r>
                      <w:r w:rsidRPr="006929D0">
                        <w:rPr>
                          <w:rStyle w:val="normaltextrun"/>
                          <w:rFonts w:cstheme="minorHAnsi"/>
                          <w:b/>
                          <w:bCs/>
                          <w:i/>
                          <w:iCs/>
                          <w:color w:val="000000"/>
                        </w:rPr>
                        <w:t xml:space="preserve"> of </w:t>
                      </w:r>
                      <w:r>
                        <w:rPr>
                          <w:rStyle w:val="normaltextrun"/>
                          <w:rFonts w:cstheme="minorHAnsi"/>
                          <w:b/>
                          <w:bCs/>
                          <w:i/>
                          <w:iCs/>
                          <w:color w:val="000000"/>
                        </w:rPr>
                        <w:t>the</w:t>
                      </w:r>
                      <w:r w:rsidRPr="006929D0">
                        <w:rPr>
                          <w:rStyle w:val="normaltextrun"/>
                          <w:rFonts w:cstheme="minorHAnsi"/>
                          <w:b/>
                          <w:bCs/>
                          <w:i/>
                          <w:iCs/>
                          <w:color w:val="000000"/>
                        </w:rPr>
                        <w:t xml:space="preserve"> </w:t>
                      </w:r>
                      <w:r>
                        <w:rPr>
                          <w:rStyle w:val="normaltextrun"/>
                          <w:rFonts w:cstheme="minorHAnsi"/>
                          <w:b/>
                          <w:bCs/>
                          <w:i/>
                          <w:iCs/>
                          <w:color w:val="000000"/>
                        </w:rPr>
                        <w:t xml:space="preserve">Platform </w:t>
                      </w:r>
                      <w:r w:rsidRPr="006929D0">
                        <w:rPr>
                          <w:rStyle w:val="normaltextrun"/>
                          <w:rFonts w:cstheme="minorHAnsi"/>
                          <w:b/>
                          <w:bCs/>
                          <w:i/>
                          <w:iCs/>
                          <w:color w:val="000000"/>
                        </w:rPr>
                        <w:t xml:space="preserve">terms and conditions </w:t>
                      </w:r>
                      <w:r>
                        <w:rPr>
                          <w:rStyle w:val="normaltextrun"/>
                          <w:rFonts w:cstheme="minorHAnsi"/>
                          <w:b/>
                          <w:bCs/>
                          <w:i/>
                          <w:iCs/>
                          <w:color w:val="000000"/>
                        </w:rPr>
                        <w:t>at the point of</w:t>
                      </w:r>
                      <w:r w:rsidRPr="006929D0">
                        <w:rPr>
                          <w:rStyle w:val="normaltextrun"/>
                          <w:rFonts w:cstheme="minorHAnsi"/>
                          <w:b/>
                          <w:bCs/>
                          <w:i/>
                          <w:iCs/>
                          <w:color w:val="000000"/>
                        </w:rPr>
                        <w:t xml:space="preserve"> starting the registration process</w:t>
                      </w:r>
                      <w:r>
                        <w:rPr>
                          <w:rStyle w:val="normaltextrun"/>
                          <w:rFonts w:cstheme="minorHAnsi"/>
                          <w:b/>
                          <w:bCs/>
                          <w:i/>
                          <w:iCs/>
                          <w:color w:val="000000"/>
                        </w:rPr>
                        <w:t xml:space="preserve"> on the COSP</w:t>
                      </w:r>
                      <w:r w:rsidRPr="006929D0">
                        <w:rPr>
                          <w:rStyle w:val="normaltextrun"/>
                          <w:rFonts w:cstheme="minorHAnsi"/>
                          <w:b/>
                          <w:bCs/>
                          <w:i/>
                          <w:iCs/>
                          <w:color w:val="000000"/>
                        </w:rPr>
                        <w:t>, to cover use of the platform prior to signing the Access &amp; Usage agreement?</w:t>
                      </w:r>
                      <w:r>
                        <w:rPr>
                          <w:rStyle w:val="normaltextrun"/>
                          <w:rFonts w:cstheme="minorHAnsi"/>
                          <w:b/>
                          <w:bCs/>
                          <w:i/>
                          <w:iCs/>
                          <w:color w:val="000000"/>
                        </w:rPr>
                        <w:t xml:space="preserve"> </w:t>
                      </w:r>
                    </w:p>
                    <w:p w14:paraId="2C0C1876" w14:textId="77777777" w:rsidR="007625FD" w:rsidRDefault="007625FD" w:rsidP="00A8431C">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3b</w:t>
                      </w:r>
                      <w:r w:rsidRPr="0076032B">
                        <w:rPr>
                          <w:rStyle w:val="normaltextrun"/>
                          <w:rFonts w:cstheme="minorHAnsi"/>
                          <w:b/>
                          <w:bCs/>
                          <w:color w:val="000000"/>
                        </w:rPr>
                        <w:t xml:space="preserve">: </w:t>
                      </w:r>
                      <w:r>
                        <w:rPr>
                          <w:rStyle w:val="normaltextrun"/>
                          <w:rFonts w:cstheme="minorHAnsi"/>
                          <w:b/>
                          <w:bCs/>
                          <w:i/>
                          <w:iCs/>
                          <w:color w:val="000000"/>
                        </w:rPr>
                        <w:t>Are there other terms you would expect to see reflected? Please provide a clear rational for any proposed additions or amendments.</w:t>
                      </w:r>
                    </w:p>
                    <w:p w14:paraId="671335C4" w14:textId="77777777" w:rsidR="007625FD" w:rsidRDefault="007625FD" w:rsidP="00A8431C">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3c</w:t>
                      </w:r>
                      <w:r w:rsidRPr="0076032B">
                        <w:rPr>
                          <w:rStyle w:val="normaltextrun"/>
                          <w:rFonts w:cstheme="minorHAnsi"/>
                          <w:b/>
                          <w:bCs/>
                          <w:color w:val="000000"/>
                        </w:rPr>
                        <w:t xml:space="preserve">: </w:t>
                      </w:r>
                      <w:r w:rsidRPr="00A733FA">
                        <w:rPr>
                          <w:rStyle w:val="normaltextrun"/>
                          <w:rFonts w:cstheme="minorHAnsi"/>
                          <w:b/>
                          <w:bCs/>
                          <w:i/>
                          <w:iCs/>
                          <w:color w:val="000000"/>
                        </w:rPr>
                        <w:t xml:space="preserve">Does </w:t>
                      </w:r>
                      <w:r>
                        <w:rPr>
                          <w:rStyle w:val="normaltextrun"/>
                          <w:rFonts w:cstheme="minorHAnsi"/>
                          <w:b/>
                          <w:bCs/>
                          <w:i/>
                          <w:iCs/>
                          <w:color w:val="000000"/>
                        </w:rPr>
                        <w:t xml:space="preserve">you </w:t>
                      </w:r>
                      <w:r w:rsidRPr="00A733FA">
                        <w:rPr>
                          <w:rStyle w:val="normaltextrun"/>
                          <w:rFonts w:cstheme="minorHAnsi"/>
                          <w:b/>
                          <w:bCs/>
                          <w:i/>
                          <w:iCs/>
                          <w:color w:val="000000"/>
                        </w:rPr>
                        <w:t>think that a fair approach would be to cap the number roles</w:t>
                      </w:r>
                      <w:r>
                        <w:rPr>
                          <w:rStyle w:val="normaltextrun"/>
                          <w:rFonts w:cstheme="minorHAnsi"/>
                          <w:b/>
                          <w:bCs/>
                          <w:i/>
                          <w:iCs/>
                          <w:color w:val="000000"/>
                        </w:rPr>
                        <w:t xml:space="preserve"> made available to fee-paying clients to use the COSP</w:t>
                      </w:r>
                      <w:r w:rsidRPr="00A733FA">
                        <w:rPr>
                          <w:rStyle w:val="normaltextrun"/>
                          <w:rFonts w:cstheme="minorHAnsi"/>
                          <w:b/>
                          <w:bCs/>
                          <w:i/>
                          <w:iCs/>
                          <w:color w:val="000000"/>
                        </w:rPr>
                        <w:t xml:space="preserve">, and to tier these limits of how many can be assigned per client entity based on </w:t>
                      </w:r>
                      <w:r w:rsidRPr="00A733FA" w:rsidDel="00D3207B">
                        <w:rPr>
                          <w:rStyle w:val="normaltextrun"/>
                          <w:rFonts w:cstheme="minorHAnsi"/>
                          <w:b/>
                          <w:bCs/>
                          <w:i/>
                          <w:iCs/>
                          <w:color w:val="000000"/>
                        </w:rPr>
                        <w:t>User</w:t>
                      </w:r>
                      <w:r w:rsidRPr="00A733FA">
                        <w:rPr>
                          <w:rStyle w:val="normaltextrun"/>
                          <w:rFonts w:cstheme="minorHAnsi"/>
                          <w:b/>
                          <w:bCs/>
                          <w:i/>
                          <w:iCs/>
                          <w:color w:val="000000"/>
                        </w:rPr>
                        <w:t xml:space="preserve"> Type?</w:t>
                      </w:r>
                    </w:p>
                    <w:p w14:paraId="6702844E" w14:textId="77777777" w:rsidR="007625FD" w:rsidRPr="00AD1FAE" w:rsidRDefault="007625FD" w:rsidP="00A8431C">
                      <w:pPr>
                        <w:jc w:val="both"/>
                        <w:rPr>
                          <w:rStyle w:val="normaltextrun"/>
                          <w:rFonts w:cstheme="minorHAnsi"/>
                          <w:b/>
                          <w:i/>
                          <w:color w:val="000000"/>
                        </w:rPr>
                      </w:pPr>
                      <w:r w:rsidRPr="0076032B">
                        <w:rPr>
                          <w:rStyle w:val="normaltextrun"/>
                          <w:rFonts w:cstheme="minorHAnsi"/>
                          <w:b/>
                          <w:bCs/>
                          <w:color w:val="000000"/>
                        </w:rPr>
                        <w:t>Question</w:t>
                      </w:r>
                      <w:r>
                        <w:rPr>
                          <w:rStyle w:val="normaltextrun"/>
                          <w:rFonts w:cstheme="minorHAnsi"/>
                          <w:b/>
                          <w:bCs/>
                          <w:color w:val="000000"/>
                        </w:rPr>
                        <w:t xml:space="preserve"> 3d</w:t>
                      </w:r>
                      <w:r w:rsidRPr="0076032B">
                        <w:rPr>
                          <w:rStyle w:val="normaltextrun"/>
                          <w:rFonts w:cstheme="minorHAnsi"/>
                          <w:b/>
                          <w:bCs/>
                          <w:color w:val="000000"/>
                        </w:rPr>
                        <w:t xml:space="preserve">: </w:t>
                      </w:r>
                      <w:r>
                        <w:rPr>
                          <w:rStyle w:val="normaltextrun"/>
                          <w:rFonts w:cstheme="minorHAnsi"/>
                          <w:b/>
                          <w:bCs/>
                          <w:i/>
                          <w:iCs/>
                          <w:color w:val="000000"/>
                        </w:rPr>
                        <w:t>If not, please outline an alternative approach, including clear rationale for your proposal.</w:t>
                      </w:r>
                    </w:p>
                  </w:txbxContent>
                </v:textbox>
                <w10:wrap type="square" anchorx="margin"/>
              </v:shape>
            </w:pict>
          </mc:Fallback>
        </mc:AlternateContent>
      </w:r>
      <w:r>
        <w:t xml:space="preserve">Q3 – UPI Service </w:t>
      </w:r>
      <w:r w:rsidRPr="00A31571">
        <w:t xml:space="preserve">Onboarding </w:t>
      </w:r>
      <w:r>
        <w:t>and User Experience</w:t>
      </w:r>
      <w:bookmarkEnd w:id="79"/>
      <w:r>
        <w:t xml:space="preserve"> </w:t>
      </w:r>
    </w:p>
    <w:p w14:paraId="50F1172E" w14:textId="493E69A7" w:rsidR="007625FD" w:rsidRPr="004F7402" w:rsidRDefault="007625FD" w:rsidP="007625FD">
      <w:pPr>
        <w:rPr>
          <w:b/>
          <w:sz w:val="24"/>
          <w:szCs w:val="24"/>
          <w:lang w:val="en-GB"/>
        </w:rPr>
      </w:pPr>
      <w:r w:rsidRPr="004F7402">
        <w:rPr>
          <w:b/>
          <w:sz w:val="24"/>
          <w:szCs w:val="24"/>
          <w:lang w:val="en-GB"/>
        </w:rPr>
        <w:lastRenderedPageBreak/>
        <w:t>Fee-paying clients</w:t>
      </w:r>
    </w:p>
    <w:p w14:paraId="4C131E1F" w14:textId="77777777" w:rsidR="007625FD" w:rsidRPr="00623841" w:rsidRDefault="007625FD" w:rsidP="007625FD">
      <w:pPr>
        <w:jc w:val="both"/>
        <w:rPr>
          <w:b/>
          <w:bCs/>
          <w:u w:val="single"/>
        </w:rPr>
      </w:pPr>
      <w:r w:rsidRPr="00623841">
        <w:rPr>
          <w:b/>
          <w:bCs/>
          <w:u w:val="single"/>
        </w:rPr>
        <w:t>Supporting Information:</w:t>
      </w:r>
    </w:p>
    <w:p w14:paraId="14776002" w14:textId="77777777" w:rsidR="007625FD" w:rsidRDefault="007625FD" w:rsidP="007625FD">
      <w:pPr>
        <w:jc w:val="both"/>
        <w:rPr>
          <w:lang w:val="en-GB"/>
        </w:rPr>
      </w:pPr>
      <w:r w:rsidRPr="00906380">
        <w:rPr>
          <w:lang w:val="en-GB"/>
        </w:rPr>
        <w:t xml:space="preserve">Further to the introduction in </w:t>
      </w:r>
      <w:r w:rsidRPr="00D367BD">
        <w:rPr>
          <w:lang w:val="en-GB"/>
        </w:rPr>
        <w:t xml:space="preserve">section </w:t>
      </w:r>
      <w:r w:rsidRPr="00D367BD">
        <w:rPr>
          <w:lang w:val="en-GB"/>
        </w:rPr>
        <w:fldChar w:fldCharType="begin"/>
      </w:r>
      <w:r w:rsidRPr="00CB36DB">
        <w:rPr>
          <w:lang w:val="en-GB"/>
        </w:rPr>
        <w:instrText xml:space="preserve"> REF _Ref83800491 \r \h </w:instrText>
      </w:r>
      <w:r>
        <w:rPr>
          <w:lang w:val="en-GB"/>
        </w:rPr>
        <w:instrText xml:space="preserve"> \* MERGEFORMAT </w:instrText>
      </w:r>
      <w:r w:rsidRPr="00D367BD">
        <w:rPr>
          <w:lang w:val="en-GB"/>
        </w:rPr>
      </w:r>
      <w:r w:rsidRPr="00D367BD">
        <w:rPr>
          <w:lang w:val="en-GB"/>
        </w:rPr>
        <w:fldChar w:fldCharType="separate"/>
      </w:r>
      <w:r w:rsidRPr="00D367BD">
        <w:rPr>
          <w:lang w:val="en-GB"/>
        </w:rPr>
        <w:t>5.1</w:t>
      </w:r>
      <w:r w:rsidRPr="00D367BD">
        <w:rPr>
          <w:lang w:val="en-GB"/>
        </w:rPr>
        <w:fldChar w:fldCharType="end"/>
      </w:r>
      <w:r w:rsidRPr="00906380">
        <w:rPr>
          <w:lang w:val="en-GB"/>
        </w:rPr>
        <w:t>, the default</w:t>
      </w:r>
      <w:r w:rsidRPr="003B0D21">
        <w:rPr>
          <w:lang w:val="en-GB"/>
        </w:rPr>
        <w:t xml:space="preserve"> onboarding approach for prospective</w:t>
      </w:r>
      <w:r>
        <w:rPr>
          <w:lang w:val="en-GB"/>
        </w:rPr>
        <w:t xml:space="preserve"> </w:t>
      </w:r>
      <w:r w:rsidRPr="003B0D21">
        <w:rPr>
          <w:lang w:val="en-GB"/>
        </w:rPr>
        <w:t xml:space="preserve">fee-paying UPI clients will be to use the DSB's </w:t>
      </w:r>
      <w:r w:rsidRPr="002312A4">
        <w:rPr>
          <w:lang w:val="en-GB"/>
        </w:rPr>
        <w:t xml:space="preserve">Client </w:t>
      </w:r>
      <w:r>
        <w:rPr>
          <w:lang w:val="en-GB"/>
        </w:rPr>
        <w:t>Onboarding</w:t>
      </w:r>
      <w:r w:rsidRPr="002312A4">
        <w:rPr>
          <w:lang w:val="en-GB"/>
        </w:rPr>
        <w:t xml:space="preserve"> and Support Platform (</w:t>
      </w:r>
      <w:r>
        <w:rPr>
          <w:lang w:val="en-GB"/>
        </w:rPr>
        <w:t>COSP</w:t>
      </w:r>
      <w:r w:rsidRPr="002312A4">
        <w:rPr>
          <w:lang w:val="en-GB"/>
        </w:rPr>
        <w:t xml:space="preserve">) </w:t>
      </w:r>
      <w:r w:rsidRPr="003B0D21">
        <w:rPr>
          <w:lang w:val="en-GB"/>
        </w:rPr>
        <w:t>to</w:t>
      </w:r>
      <w:r>
        <w:rPr>
          <w:lang w:val="en-GB"/>
        </w:rPr>
        <w:t xml:space="preserve"> select </w:t>
      </w:r>
      <w:r w:rsidRPr="00E60023">
        <w:rPr>
          <w:lang w:val="en-GB"/>
        </w:rPr>
        <w:t>the</w:t>
      </w:r>
      <w:r w:rsidRPr="00B92432" w:rsidDel="004A3B16">
        <w:rPr>
          <w:lang w:val="en-GB"/>
        </w:rPr>
        <w:t xml:space="preserve"> </w:t>
      </w:r>
      <w:r w:rsidDel="00D3207B">
        <w:rPr>
          <w:lang w:val="en-GB"/>
        </w:rPr>
        <w:t>User</w:t>
      </w:r>
      <w:r>
        <w:rPr>
          <w:lang w:val="en-GB"/>
        </w:rPr>
        <w:t xml:space="preserve"> Type</w:t>
      </w:r>
      <w:r w:rsidRPr="00B92432" w:rsidDel="004A3B16">
        <w:rPr>
          <w:lang w:val="en-GB"/>
        </w:rPr>
        <w:t>(s) to which they wish to subscribe</w:t>
      </w:r>
      <w:r w:rsidRPr="00B92432">
        <w:rPr>
          <w:lang w:val="en-GB"/>
        </w:rPr>
        <w:t xml:space="preserve"> </w:t>
      </w:r>
      <w:r>
        <w:rPr>
          <w:lang w:val="en-GB"/>
        </w:rPr>
        <w:t>and complete the</w:t>
      </w:r>
      <w:r w:rsidRPr="003B0D21">
        <w:rPr>
          <w:lang w:val="en-GB"/>
        </w:rPr>
        <w:t xml:space="preserve"> onboarding process</w:t>
      </w:r>
      <w:r>
        <w:rPr>
          <w:lang w:val="en-GB"/>
        </w:rPr>
        <w:t>.</w:t>
      </w:r>
    </w:p>
    <w:p w14:paraId="42AAF0E9" w14:textId="77777777" w:rsidR="007625FD" w:rsidRDefault="007625FD" w:rsidP="007625FD">
      <w:pPr>
        <w:jc w:val="both"/>
        <w:rPr>
          <w:lang w:val="en-GB"/>
        </w:rPr>
      </w:pPr>
      <w:r w:rsidRPr="003B0D21">
        <w:rPr>
          <w:lang w:val="en-GB"/>
        </w:rPr>
        <w:t xml:space="preserve">To </w:t>
      </w:r>
      <w:r>
        <w:rPr>
          <w:lang w:val="en-GB"/>
        </w:rPr>
        <w:t>use the COSP</w:t>
      </w:r>
      <w:r w:rsidRPr="003B0D21">
        <w:rPr>
          <w:lang w:val="en-GB"/>
        </w:rPr>
        <w:t xml:space="preserve">, before the client </w:t>
      </w:r>
      <w:r>
        <w:rPr>
          <w:lang w:val="en-GB"/>
        </w:rPr>
        <w:t xml:space="preserve">reviews and signs </w:t>
      </w:r>
      <w:r w:rsidRPr="003B0D21">
        <w:rPr>
          <w:lang w:val="en-GB"/>
        </w:rPr>
        <w:t xml:space="preserve">the </w:t>
      </w:r>
      <w:r>
        <w:t>Subscription Form</w:t>
      </w:r>
      <w:r w:rsidRPr="00817E22" w:rsidDel="008A016B">
        <w:t xml:space="preserve"> </w:t>
      </w:r>
      <w:r>
        <w:rPr>
          <w:lang w:val="en-GB"/>
        </w:rPr>
        <w:t>online</w:t>
      </w:r>
      <w:r w:rsidRPr="003B0D21">
        <w:rPr>
          <w:lang w:val="en-GB"/>
        </w:rPr>
        <w:t xml:space="preserve">, the client must </w:t>
      </w:r>
      <w:r>
        <w:rPr>
          <w:lang w:val="en-GB"/>
        </w:rPr>
        <w:t>first register for</w:t>
      </w:r>
      <w:r w:rsidRPr="003B0D21">
        <w:rPr>
          <w:lang w:val="en-GB"/>
        </w:rPr>
        <w:t xml:space="preserve"> the system and provide client entity and </w:t>
      </w:r>
      <w:r>
        <w:rPr>
          <w:lang w:val="en-GB"/>
        </w:rPr>
        <w:t xml:space="preserve">individual </w:t>
      </w:r>
      <w:r w:rsidRPr="003B0D21">
        <w:rPr>
          <w:lang w:val="en-GB"/>
        </w:rPr>
        <w:t>information</w:t>
      </w:r>
      <w:r>
        <w:rPr>
          <w:lang w:val="en-GB"/>
        </w:rPr>
        <w:t xml:space="preserve"> (in the capacity of their employment within the firm)</w:t>
      </w:r>
      <w:r w:rsidRPr="003B0D21">
        <w:rPr>
          <w:lang w:val="en-GB"/>
        </w:rPr>
        <w:t>, that will be retained securely on the platform.</w:t>
      </w:r>
    </w:p>
    <w:p w14:paraId="32E8FFB9" w14:textId="77777777" w:rsidR="007625FD" w:rsidRDefault="007625FD" w:rsidP="007625FD">
      <w:pPr>
        <w:jc w:val="both"/>
        <w:rPr>
          <w:lang w:val="en-GB"/>
        </w:rPr>
      </w:pPr>
      <w:r w:rsidRPr="003B0D21">
        <w:rPr>
          <w:lang w:val="en-GB"/>
        </w:rPr>
        <w:t xml:space="preserve">As part of the </w:t>
      </w:r>
      <w:r>
        <w:rPr>
          <w:lang w:val="en-GB"/>
        </w:rPr>
        <w:t>client</w:t>
      </w:r>
      <w:r w:rsidRPr="003B0D21">
        <w:rPr>
          <w:lang w:val="en-GB"/>
        </w:rPr>
        <w:t xml:space="preserve"> registration process</w:t>
      </w:r>
      <w:r>
        <w:rPr>
          <w:lang w:val="en-GB"/>
        </w:rPr>
        <w:t xml:space="preserve"> and identity verification</w:t>
      </w:r>
      <w:r w:rsidRPr="003B0D21">
        <w:rPr>
          <w:lang w:val="en-GB"/>
        </w:rPr>
        <w:t xml:space="preserve">, </w:t>
      </w:r>
      <w:r>
        <w:rPr>
          <w:lang w:val="en-GB"/>
        </w:rPr>
        <w:t>COSP</w:t>
      </w:r>
      <w:r w:rsidRPr="003B0D21">
        <w:rPr>
          <w:lang w:val="en-GB"/>
        </w:rPr>
        <w:t xml:space="preserve"> </w:t>
      </w:r>
      <w:r>
        <w:rPr>
          <w:lang w:val="en-GB"/>
        </w:rPr>
        <w:t>User</w:t>
      </w:r>
      <w:r w:rsidRPr="003B0D21">
        <w:rPr>
          <w:lang w:val="en-GB"/>
        </w:rPr>
        <w:t xml:space="preserve">s will </w:t>
      </w:r>
      <w:r>
        <w:rPr>
          <w:lang w:val="en-GB"/>
        </w:rPr>
        <w:t xml:space="preserve">each </w:t>
      </w:r>
      <w:r w:rsidRPr="003B0D21">
        <w:rPr>
          <w:lang w:val="en-GB"/>
        </w:rPr>
        <w:t xml:space="preserve">be sent a request via email to validate their email address within a defined window (e.g., 24 hours). If </w:t>
      </w:r>
      <w:r>
        <w:rPr>
          <w:lang w:val="en-GB"/>
        </w:rPr>
        <w:t xml:space="preserve">email validation is </w:t>
      </w:r>
      <w:r w:rsidRPr="003B0D21">
        <w:rPr>
          <w:lang w:val="en-GB"/>
        </w:rPr>
        <w:t xml:space="preserve">not performed, client </w:t>
      </w:r>
      <w:r>
        <w:rPr>
          <w:lang w:val="en-GB"/>
        </w:rPr>
        <w:t>access</w:t>
      </w:r>
      <w:r w:rsidRPr="003B0D21">
        <w:rPr>
          <w:lang w:val="en-GB"/>
        </w:rPr>
        <w:t xml:space="preserve"> </w:t>
      </w:r>
      <w:r>
        <w:rPr>
          <w:lang w:val="en-GB"/>
        </w:rPr>
        <w:t xml:space="preserve">to the COSP </w:t>
      </w:r>
      <w:r w:rsidRPr="003B0D21">
        <w:rPr>
          <w:lang w:val="en-GB"/>
        </w:rPr>
        <w:t>will</w:t>
      </w:r>
      <w:r>
        <w:rPr>
          <w:lang w:val="en-GB"/>
        </w:rPr>
        <w:t xml:space="preserve"> not be activated and the User will</w:t>
      </w:r>
      <w:r w:rsidRPr="003B0D21">
        <w:rPr>
          <w:lang w:val="en-GB"/>
        </w:rPr>
        <w:t xml:space="preserve"> need to initiate the onboarding process again.</w:t>
      </w:r>
    </w:p>
    <w:p w14:paraId="2FA73752" w14:textId="77777777" w:rsidR="007625FD" w:rsidRPr="00017280" w:rsidRDefault="007625FD" w:rsidP="007625FD">
      <w:pPr>
        <w:jc w:val="both"/>
        <w:rPr>
          <w:lang w:val="en-GB"/>
        </w:rPr>
      </w:pPr>
      <w:r>
        <w:rPr>
          <w:lang w:val="en-GB"/>
        </w:rPr>
        <w:t>Upon access to the COSP, the onboarding process</w:t>
      </w:r>
      <w:r w:rsidRPr="003B0D21">
        <w:rPr>
          <w:lang w:val="en-GB"/>
        </w:rPr>
        <w:t xml:space="preserve"> consists of a series of steps in which the client will </w:t>
      </w:r>
      <w:r w:rsidRPr="00017280">
        <w:rPr>
          <w:lang w:val="en-GB"/>
        </w:rPr>
        <w:t xml:space="preserve">be asked to input data into the system, as laid out in section </w:t>
      </w:r>
      <w:r w:rsidRPr="00017280">
        <w:rPr>
          <w:lang w:val="en-GB"/>
        </w:rPr>
        <w:fldChar w:fldCharType="begin"/>
      </w:r>
      <w:r w:rsidRPr="00017280">
        <w:rPr>
          <w:lang w:val="en-GB"/>
        </w:rPr>
        <w:instrText xml:space="preserve"> REF _Ref83800535 \r \h  \* MERGEFORMAT </w:instrText>
      </w:r>
      <w:r w:rsidRPr="00017280">
        <w:rPr>
          <w:lang w:val="en-GB"/>
        </w:rPr>
      </w:r>
      <w:r w:rsidRPr="00017280">
        <w:rPr>
          <w:lang w:val="en-GB"/>
        </w:rPr>
        <w:fldChar w:fldCharType="separate"/>
      </w:r>
      <w:r w:rsidRPr="00017280">
        <w:rPr>
          <w:lang w:val="en-GB"/>
        </w:rPr>
        <w:t>5.1</w:t>
      </w:r>
      <w:r w:rsidRPr="00017280">
        <w:rPr>
          <w:lang w:val="en-GB"/>
        </w:rPr>
        <w:fldChar w:fldCharType="end"/>
      </w:r>
      <w:r w:rsidRPr="00017280">
        <w:rPr>
          <w:lang w:val="en-GB"/>
        </w:rPr>
        <w:t>.</w:t>
      </w:r>
    </w:p>
    <w:p w14:paraId="3D0219D5" w14:textId="77777777" w:rsidR="007625FD" w:rsidRPr="00017280" w:rsidRDefault="007625FD" w:rsidP="007625FD">
      <w:pPr>
        <w:jc w:val="both"/>
        <w:rPr>
          <w:lang w:val="en-GB"/>
        </w:rPr>
      </w:pPr>
      <w:r w:rsidRPr="00017280">
        <w:rPr>
          <w:lang w:val="en-GB"/>
        </w:rPr>
        <w:t xml:space="preserve">These steps may be completed by a single or multiple client member(s) of staff with the necessary authority. UPI clients will access DSB's COSP via administrative role-based access (which grant role-specific permissions to complete onboarding and in-life management processes on the platform). </w:t>
      </w:r>
    </w:p>
    <w:p w14:paraId="14A5E071" w14:textId="77777777" w:rsidR="007625FD" w:rsidRDefault="007625FD" w:rsidP="007625FD">
      <w:pPr>
        <w:jc w:val="both"/>
        <w:rPr>
          <w:lang w:val="en-GB"/>
        </w:rPr>
      </w:pPr>
      <w:r w:rsidRPr="00017280">
        <w:rPr>
          <w:lang w:val="en-GB"/>
        </w:rPr>
        <w:t>The individual who registers via the COSP on behalf of the client entity will have a default role as the client administrator, which grants access to all onboarding and in-life processes on the platform. The client administrator will be responsible for mana</w:t>
      </w:r>
      <w:r w:rsidRPr="0028376D">
        <w:rPr>
          <w:lang w:val="en-GB"/>
        </w:rPr>
        <w:t xml:space="preserve">ging additional staff access to the </w:t>
      </w:r>
      <w:r>
        <w:rPr>
          <w:lang w:val="en-GB"/>
        </w:rPr>
        <w:t xml:space="preserve">COSP, as necessary based on how to client decides to manage the onboarding and in-life processes. </w:t>
      </w:r>
    </w:p>
    <w:p w14:paraId="3A9FFD48" w14:textId="77777777" w:rsidR="007625FD" w:rsidRDefault="007625FD" w:rsidP="007625FD">
      <w:pPr>
        <w:jc w:val="both"/>
        <w:rPr>
          <w:lang w:val="en-GB"/>
        </w:rPr>
      </w:pPr>
      <w:r>
        <w:rPr>
          <w:lang w:val="en-GB"/>
        </w:rPr>
        <w:t>Aside from the client administrator role, which can be given to multiple staff members, there will be other roles that can be assigned to client staff.</w:t>
      </w:r>
      <w:r w:rsidRPr="00975DBE">
        <w:rPr>
          <w:lang w:val="en-GB"/>
        </w:rPr>
        <w:t xml:space="preserve"> </w:t>
      </w:r>
      <w:r>
        <w:rPr>
          <w:lang w:val="en-GB"/>
        </w:rPr>
        <w:t>R</w:t>
      </w:r>
      <w:r w:rsidRPr="00975DBE">
        <w:rPr>
          <w:lang w:val="en-GB"/>
        </w:rPr>
        <w:t>ole-based access</w:t>
      </w:r>
      <w:r>
        <w:rPr>
          <w:lang w:val="en-GB"/>
        </w:rPr>
        <w:t xml:space="preserve"> will allow clients to give their staff the ability to fulfil one or more aspect of the onboarding and in-life processes e.g., </w:t>
      </w:r>
      <w:r w:rsidRPr="00975DBE">
        <w:rPr>
          <w:lang w:val="en-GB"/>
        </w:rPr>
        <w:t>legal related, billing related</w:t>
      </w:r>
      <w:r>
        <w:rPr>
          <w:lang w:val="en-GB"/>
        </w:rPr>
        <w:t xml:space="preserve"> or technical</w:t>
      </w:r>
      <w:r w:rsidRPr="00975DBE">
        <w:rPr>
          <w:lang w:val="en-GB"/>
        </w:rPr>
        <w:t xml:space="preserve"> support related functions</w:t>
      </w:r>
      <w:r>
        <w:rPr>
          <w:lang w:val="en-GB"/>
        </w:rPr>
        <w:t xml:space="preserve">. </w:t>
      </w:r>
      <w:r w:rsidRPr="00975DBE" w:rsidDel="004F0D9E">
        <w:rPr>
          <w:lang w:val="en-GB"/>
        </w:rPr>
        <w:t xml:space="preserve"> </w:t>
      </w:r>
    </w:p>
    <w:p w14:paraId="26C48FC5" w14:textId="7A680FC5" w:rsidR="007625FD" w:rsidRDefault="007625FD" w:rsidP="007625FD">
      <w:pPr>
        <w:jc w:val="both"/>
        <w:rPr>
          <w:lang w:val="en-GB"/>
        </w:rPr>
      </w:pPr>
      <w:r w:rsidRPr="00975DBE">
        <w:rPr>
          <w:lang w:val="en-GB"/>
        </w:rPr>
        <w:t xml:space="preserve">As client staff are permissioned with a role, a </w:t>
      </w:r>
      <w:r>
        <w:rPr>
          <w:lang w:val="en-GB"/>
        </w:rPr>
        <w:t>license</w:t>
      </w:r>
      <w:r w:rsidRPr="00975DBE">
        <w:rPr>
          <w:lang w:val="en-GB"/>
        </w:rPr>
        <w:t xml:space="preserve"> is automatically assigned</w:t>
      </w:r>
      <w:r>
        <w:rPr>
          <w:lang w:val="en-GB"/>
        </w:rPr>
        <w:t xml:space="preserve"> to that individual to allow them to access the platform</w:t>
      </w:r>
      <w:r w:rsidRPr="00975DBE">
        <w:rPr>
          <w:lang w:val="en-GB"/>
        </w:rPr>
        <w:t>.</w:t>
      </w:r>
      <w:r>
        <w:rPr>
          <w:lang w:val="en-GB"/>
        </w:rPr>
        <w:t xml:space="preserve"> The license is a </w:t>
      </w:r>
      <w:r w:rsidR="00BB2C6C">
        <w:rPr>
          <w:lang w:val="en-GB"/>
        </w:rPr>
        <w:t>third-party</w:t>
      </w:r>
      <w:r>
        <w:rPr>
          <w:lang w:val="en-GB"/>
        </w:rPr>
        <w:t xml:space="preserve"> cost incurred by the DSB related to the software solutions underpinning the COSP.</w:t>
      </w:r>
      <w:r w:rsidRPr="00975DBE">
        <w:rPr>
          <w:lang w:val="en-GB"/>
        </w:rPr>
        <w:t xml:space="preserve"> </w:t>
      </w:r>
    </w:p>
    <w:p w14:paraId="5DCC3F86" w14:textId="77777777" w:rsidR="007625FD" w:rsidRDefault="007625FD" w:rsidP="007625FD">
      <w:pPr>
        <w:jc w:val="both"/>
        <w:rPr>
          <w:b/>
          <w:bCs/>
          <w:u w:val="single"/>
        </w:rPr>
      </w:pPr>
      <w:r w:rsidRPr="00623841">
        <w:rPr>
          <w:b/>
          <w:bCs/>
          <w:u w:val="single"/>
        </w:rPr>
        <w:t>DSB Proposal:</w:t>
      </w:r>
    </w:p>
    <w:p w14:paraId="7FADD20A" w14:textId="43D0FF66" w:rsidR="007625FD" w:rsidRDefault="007625FD" w:rsidP="007625FD">
      <w:pPr>
        <w:jc w:val="both"/>
        <w:rPr>
          <w:lang w:val="en-GB"/>
        </w:rPr>
      </w:pPr>
      <w:r w:rsidRPr="00817E22">
        <w:t xml:space="preserve">The DSB </w:t>
      </w:r>
      <w:r>
        <w:t>proposes that</w:t>
      </w:r>
      <w:r w:rsidRPr="00817E22">
        <w:t xml:space="preserve"> </w:t>
      </w:r>
      <w:r>
        <w:t xml:space="preserve">Users of the </w:t>
      </w:r>
      <w:r w:rsidR="00F07F21">
        <w:t>UPI Service</w:t>
      </w:r>
      <w:r w:rsidRPr="00817E22">
        <w:t xml:space="preserve"> will </w:t>
      </w:r>
      <w:r>
        <w:t>be asked</w:t>
      </w:r>
      <w:r w:rsidRPr="00817E22">
        <w:t xml:space="preserve"> to accept a set of </w:t>
      </w:r>
      <w:r>
        <w:t>COSP Platform T</w:t>
      </w:r>
      <w:r w:rsidRPr="00817E22">
        <w:t xml:space="preserve">erms </w:t>
      </w:r>
      <w:r>
        <w:t>(</w:t>
      </w:r>
      <w:r w:rsidRPr="00817E22">
        <w:t>and conditions</w:t>
      </w:r>
      <w:r>
        <w:t>)</w:t>
      </w:r>
      <w:r w:rsidRPr="00817E22">
        <w:t xml:space="preserve"> upon starting the </w:t>
      </w:r>
      <w:r>
        <w:t>UPI onboarding</w:t>
      </w:r>
      <w:r w:rsidRPr="00817E22">
        <w:t xml:space="preserve"> process. This is because the client will be interacting with the onboarding system prior to reaching the step of signing the </w:t>
      </w:r>
      <w:r>
        <w:t>Subscription Form</w:t>
      </w:r>
      <w:r w:rsidRPr="00817E22">
        <w:t xml:space="preserve"> and the DSB will have terms which they will need to be aware of for </w:t>
      </w:r>
      <w:r>
        <w:t xml:space="preserve">initial </w:t>
      </w:r>
      <w:r w:rsidRPr="00817E22">
        <w:t xml:space="preserve">interaction with the platform. </w:t>
      </w:r>
      <w:r>
        <w:rPr>
          <w:lang w:val="en-GB"/>
        </w:rPr>
        <w:t>The DSB</w:t>
      </w:r>
      <w:r w:rsidRPr="00C56AD4">
        <w:rPr>
          <w:lang w:val="en-GB"/>
        </w:rPr>
        <w:t xml:space="preserve"> propose</w:t>
      </w:r>
      <w:r>
        <w:rPr>
          <w:lang w:val="en-GB"/>
        </w:rPr>
        <w:t>s</w:t>
      </w:r>
      <w:r w:rsidRPr="00C56AD4">
        <w:rPr>
          <w:lang w:val="en-GB"/>
        </w:rPr>
        <w:t xml:space="preserve"> that these terms would be entered into on a “click to accept” basis within the </w:t>
      </w:r>
      <w:r>
        <w:rPr>
          <w:lang w:val="en-GB"/>
        </w:rPr>
        <w:t>COSP</w:t>
      </w:r>
      <w:r w:rsidRPr="00C56AD4">
        <w:rPr>
          <w:lang w:val="en-GB"/>
        </w:rPr>
        <w:t xml:space="preserve">. </w:t>
      </w:r>
      <w:r w:rsidRPr="00C56AD4" w:rsidDel="00CB6F01">
        <w:rPr>
          <w:lang w:val="en-GB"/>
        </w:rPr>
        <w:t xml:space="preserve"> </w:t>
      </w:r>
      <w:r w:rsidRPr="00D604ED">
        <w:rPr>
          <w:lang w:val="en-GB"/>
        </w:rPr>
        <w:t xml:space="preserve">The terms would be </w:t>
      </w:r>
      <w:r w:rsidRPr="00D604ED">
        <w:rPr>
          <w:lang w:val="en-GB"/>
        </w:rPr>
        <w:lastRenderedPageBreak/>
        <w:t>aligned to the Main Terms</w:t>
      </w:r>
      <w:r>
        <w:rPr>
          <w:lang w:val="en-GB"/>
        </w:rPr>
        <w:t xml:space="preserve"> and Policies where necessary</w:t>
      </w:r>
      <w:r w:rsidRPr="00D604ED">
        <w:rPr>
          <w:lang w:val="en-GB"/>
        </w:rPr>
        <w:t xml:space="preserve"> that the client would accept upon executing the </w:t>
      </w:r>
      <w:r>
        <w:rPr>
          <w:lang w:val="en-GB"/>
        </w:rPr>
        <w:t>Subscription Form</w:t>
      </w:r>
      <w:r w:rsidRPr="00D604ED">
        <w:rPr>
          <w:lang w:val="en-GB"/>
        </w:rPr>
        <w:t xml:space="preserve"> (which reference the Main Terms and Policies).</w:t>
      </w:r>
    </w:p>
    <w:p w14:paraId="4A5FCC15" w14:textId="77777777" w:rsidR="007625FD" w:rsidRDefault="007625FD" w:rsidP="007625FD">
      <w:pPr>
        <w:jc w:val="both"/>
        <w:rPr>
          <w:lang w:val="en-GB"/>
        </w:rPr>
      </w:pPr>
      <w:r>
        <w:rPr>
          <w:lang w:val="en-GB"/>
        </w:rPr>
        <w:t>Key expected clauses in the COSP - Platform Terms:</w:t>
      </w:r>
    </w:p>
    <w:p w14:paraId="5825249C" w14:textId="77777777" w:rsidR="007625FD" w:rsidRPr="00001C8C" w:rsidRDefault="007625FD" w:rsidP="007625FD">
      <w:pPr>
        <w:pStyle w:val="ListParagraph"/>
        <w:numPr>
          <w:ilvl w:val="0"/>
          <w:numId w:val="22"/>
        </w:numPr>
        <w:autoSpaceDE/>
        <w:autoSpaceDN/>
        <w:adjustRightInd/>
        <w:spacing w:before="0" w:after="160" w:line="276" w:lineRule="auto"/>
        <w:ind w:right="0"/>
        <w:contextualSpacing/>
        <w:jc w:val="both"/>
        <w:rPr>
          <w:sz w:val="22"/>
          <w:szCs w:val="22"/>
        </w:rPr>
      </w:pPr>
      <w:r w:rsidRPr="00001C8C">
        <w:rPr>
          <w:sz w:val="22"/>
          <w:szCs w:val="22"/>
        </w:rPr>
        <w:t>The intention to become a fee-paying User.</w:t>
      </w:r>
    </w:p>
    <w:p w14:paraId="23FA4C7D" w14:textId="77777777" w:rsidR="007625FD" w:rsidRPr="00001C8C" w:rsidRDefault="007625FD" w:rsidP="007625FD">
      <w:pPr>
        <w:pStyle w:val="ListParagraph"/>
        <w:numPr>
          <w:ilvl w:val="0"/>
          <w:numId w:val="22"/>
        </w:numPr>
        <w:autoSpaceDE/>
        <w:autoSpaceDN/>
        <w:adjustRightInd/>
        <w:spacing w:before="0" w:after="160" w:line="276" w:lineRule="auto"/>
        <w:ind w:right="0"/>
        <w:contextualSpacing/>
        <w:jc w:val="both"/>
        <w:rPr>
          <w:sz w:val="22"/>
          <w:szCs w:val="22"/>
        </w:rPr>
      </w:pPr>
      <w:r w:rsidRPr="00001C8C">
        <w:rPr>
          <w:sz w:val="22"/>
          <w:szCs w:val="22"/>
        </w:rPr>
        <w:t>The client has an obligation to manage any changes through the COSP. This would also be reflected in the relevant Policy for how Subscriptions are expected to be managed via the COSP.</w:t>
      </w:r>
    </w:p>
    <w:p w14:paraId="54552CC1" w14:textId="12156403" w:rsidR="007625FD" w:rsidRPr="00001C8C" w:rsidRDefault="007625FD" w:rsidP="007625FD">
      <w:pPr>
        <w:pStyle w:val="ListParagraph"/>
        <w:numPr>
          <w:ilvl w:val="0"/>
          <w:numId w:val="22"/>
        </w:numPr>
        <w:autoSpaceDE/>
        <w:autoSpaceDN/>
        <w:adjustRightInd/>
        <w:spacing w:before="0" w:after="160" w:line="276" w:lineRule="auto"/>
        <w:ind w:right="0"/>
        <w:contextualSpacing/>
        <w:jc w:val="both"/>
        <w:rPr>
          <w:sz w:val="22"/>
          <w:szCs w:val="22"/>
        </w:rPr>
      </w:pPr>
      <w:r w:rsidRPr="00001C8C">
        <w:rPr>
          <w:sz w:val="22"/>
          <w:szCs w:val="22"/>
        </w:rPr>
        <w:t xml:space="preserve">The storage and use of data. The DSB’s existing Privacy Policy specifically references the OTC </w:t>
      </w:r>
      <w:r w:rsidR="00F07F21">
        <w:rPr>
          <w:sz w:val="22"/>
          <w:szCs w:val="22"/>
        </w:rPr>
        <w:t>ISIN Service</w:t>
      </w:r>
      <w:r w:rsidRPr="00001C8C">
        <w:rPr>
          <w:sz w:val="22"/>
          <w:szCs w:val="22"/>
        </w:rPr>
        <w:t xml:space="preserve"> and the DSB GUI and will be updated to make it service-neutral or with explicit service references where required.</w:t>
      </w:r>
    </w:p>
    <w:p w14:paraId="62A2BDAE" w14:textId="77777777" w:rsidR="007625FD" w:rsidRPr="00001C8C" w:rsidRDefault="007625FD" w:rsidP="007625FD">
      <w:pPr>
        <w:pStyle w:val="ListParagraph"/>
        <w:numPr>
          <w:ilvl w:val="0"/>
          <w:numId w:val="22"/>
        </w:numPr>
        <w:autoSpaceDE/>
        <w:autoSpaceDN/>
        <w:adjustRightInd/>
        <w:spacing w:before="0" w:after="160" w:line="276" w:lineRule="auto"/>
        <w:ind w:right="0"/>
        <w:contextualSpacing/>
        <w:jc w:val="both"/>
        <w:rPr>
          <w:sz w:val="22"/>
          <w:szCs w:val="22"/>
        </w:rPr>
      </w:pPr>
      <w:r w:rsidRPr="00001C8C">
        <w:rPr>
          <w:sz w:val="22"/>
          <w:szCs w:val="22"/>
        </w:rPr>
        <w:t xml:space="preserve">Conditions relating to the client’s account remaining active or conditions under which access to the COSP may be inactivated and /or deleted (see section </w:t>
      </w:r>
      <w:r w:rsidRPr="00001C8C">
        <w:rPr>
          <w:sz w:val="22"/>
          <w:szCs w:val="22"/>
        </w:rPr>
        <w:fldChar w:fldCharType="begin"/>
      </w:r>
      <w:r w:rsidRPr="00001C8C">
        <w:rPr>
          <w:sz w:val="22"/>
          <w:szCs w:val="22"/>
        </w:rPr>
        <w:instrText xml:space="preserve"> REF _Ref83800598 \r \h  \* MERGEFORMAT </w:instrText>
      </w:r>
      <w:r w:rsidRPr="00001C8C">
        <w:rPr>
          <w:sz w:val="22"/>
          <w:szCs w:val="22"/>
        </w:rPr>
      </w:r>
      <w:r w:rsidRPr="00001C8C">
        <w:rPr>
          <w:sz w:val="22"/>
          <w:szCs w:val="22"/>
        </w:rPr>
        <w:fldChar w:fldCharType="separate"/>
      </w:r>
      <w:r w:rsidRPr="00001C8C">
        <w:rPr>
          <w:sz w:val="22"/>
          <w:szCs w:val="22"/>
        </w:rPr>
        <w:t>5.8</w:t>
      </w:r>
      <w:r w:rsidRPr="00001C8C">
        <w:rPr>
          <w:sz w:val="22"/>
          <w:szCs w:val="22"/>
        </w:rPr>
        <w:fldChar w:fldCharType="end"/>
      </w:r>
      <w:r w:rsidRPr="00001C8C">
        <w:rPr>
          <w:sz w:val="22"/>
          <w:szCs w:val="22"/>
        </w:rPr>
        <w:t xml:space="preserve"> below for more detail).</w:t>
      </w:r>
    </w:p>
    <w:p w14:paraId="1853A6B0" w14:textId="77777777" w:rsidR="007625FD" w:rsidRPr="00001C8C" w:rsidRDefault="007625FD" w:rsidP="007625FD">
      <w:pPr>
        <w:pStyle w:val="ListParagraph"/>
        <w:numPr>
          <w:ilvl w:val="0"/>
          <w:numId w:val="22"/>
        </w:numPr>
        <w:autoSpaceDE/>
        <w:autoSpaceDN/>
        <w:adjustRightInd/>
        <w:spacing w:before="0" w:after="160" w:line="276" w:lineRule="auto"/>
        <w:ind w:right="0"/>
        <w:contextualSpacing/>
        <w:jc w:val="both"/>
        <w:rPr>
          <w:sz w:val="22"/>
          <w:szCs w:val="22"/>
        </w:rPr>
      </w:pPr>
      <w:r w:rsidRPr="00001C8C">
        <w:rPr>
          <w:sz w:val="22"/>
          <w:szCs w:val="22"/>
        </w:rPr>
        <w:t xml:space="preserve">Acceptable use provisions and corresponding suspension rights e.g., a subset of key provisions of the current DSB Acceptable Use Policy e.g., not using COSP for unlawful purposes. </w:t>
      </w:r>
    </w:p>
    <w:p w14:paraId="5C2E65AF" w14:textId="77777777" w:rsidR="007625FD" w:rsidRPr="00001C8C" w:rsidRDefault="007625FD" w:rsidP="007625FD">
      <w:pPr>
        <w:pStyle w:val="ListParagraph"/>
        <w:numPr>
          <w:ilvl w:val="0"/>
          <w:numId w:val="22"/>
        </w:numPr>
        <w:autoSpaceDE/>
        <w:autoSpaceDN/>
        <w:adjustRightInd/>
        <w:spacing w:before="0" w:after="160" w:line="276" w:lineRule="auto"/>
        <w:ind w:right="0"/>
        <w:contextualSpacing/>
        <w:jc w:val="both"/>
        <w:rPr>
          <w:sz w:val="22"/>
          <w:szCs w:val="22"/>
        </w:rPr>
      </w:pPr>
      <w:r w:rsidRPr="00001C8C">
        <w:rPr>
          <w:sz w:val="22"/>
          <w:szCs w:val="22"/>
        </w:rPr>
        <w:t xml:space="preserve">Authority required or assumed of the individual registering on behalf of a </w:t>
      </w:r>
      <w:proofErr w:type="gramStart"/>
      <w:r w:rsidRPr="00001C8C">
        <w:rPr>
          <w:sz w:val="22"/>
          <w:szCs w:val="22"/>
        </w:rPr>
        <w:t>User</w:t>
      </w:r>
      <w:proofErr w:type="gramEnd"/>
      <w:r w:rsidRPr="00001C8C">
        <w:rPr>
          <w:sz w:val="22"/>
          <w:szCs w:val="22"/>
        </w:rPr>
        <w:t xml:space="preserve"> entity.</w:t>
      </w:r>
    </w:p>
    <w:p w14:paraId="7AFFC9CE" w14:textId="77777777" w:rsidR="007625FD" w:rsidRPr="00001C8C" w:rsidRDefault="007625FD" w:rsidP="007625FD">
      <w:pPr>
        <w:pStyle w:val="ListParagraph"/>
        <w:numPr>
          <w:ilvl w:val="0"/>
          <w:numId w:val="22"/>
        </w:numPr>
        <w:autoSpaceDE/>
        <w:autoSpaceDN/>
        <w:adjustRightInd/>
        <w:spacing w:before="0" w:after="160" w:line="276" w:lineRule="auto"/>
        <w:ind w:right="0"/>
        <w:contextualSpacing/>
        <w:jc w:val="both"/>
        <w:rPr>
          <w:sz w:val="22"/>
          <w:szCs w:val="22"/>
        </w:rPr>
      </w:pPr>
      <w:r w:rsidRPr="00001C8C">
        <w:rPr>
          <w:sz w:val="22"/>
          <w:szCs w:val="22"/>
        </w:rPr>
        <w:t xml:space="preserve">Number of client logins provided as part of the </w:t>
      </w:r>
      <w:r w:rsidRPr="00001C8C" w:rsidDel="00D3207B">
        <w:rPr>
          <w:sz w:val="22"/>
          <w:szCs w:val="22"/>
        </w:rPr>
        <w:t>User</w:t>
      </w:r>
      <w:r w:rsidRPr="00001C8C">
        <w:rPr>
          <w:sz w:val="22"/>
          <w:szCs w:val="22"/>
        </w:rPr>
        <w:t xml:space="preserve"> Type fees on the COSP until the Subscription Form is executed (see further detail below in this section).</w:t>
      </w:r>
    </w:p>
    <w:p w14:paraId="41EDDEDE" w14:textId="6482B2C9" w:rsidR="007625FD" w:rsidRPr="00001C8C" w:rsidRDefault="007625FD" w:rsidP="007625FD">
      <w:pPr>
        <w:pStyle w:val="ListParagraph"/>
        <w:numPr>
          <w:ilvl w:val="0"/>
          <w:numId w:val="22"/>
        </w:numPr>
        <w:autoSpaceDE/>
        <w:autoSpaceDN/>
        <w:adjustRightInd/>
        <w:spacing w:before="0" w:after="160" w:line="276" w:lineRule="auto"/>
        <w:ind w:right="0"/>
        <w:contextualSpacing/>
        <w:jc w:val="both"/>
        <w:rPr>
          <w:sz w:val="22"/>
          <w:szCs w:val="22"/>
        </w:rPr>
      </w:pPr>
      <w:r w:rsidRPr="00001C8C">
        <w:rPr>
          <w:sz w:val="22"/>
          <w:szCs w:val="22"/>
        </w:rPr>
        <w:t xml:space="preserve">Terms relating to availability, disaster recovery and security. The COSP is built upon on a number of integrated, hosted off-the-shelf solutions to provide the client relationship management, </w:t>
      </w:r>
      <w:r w:rsidR="00A81F24" w:rsidRPr="00001C8C">
        <w:rPr>
          <w:sz w:val="22"/>
          <w:szCs w:val="22"/>
        </w:rPr>
        <w:t xml:space="preserve">payment and </w:t>
      </w:r>
      <w:r w:rsidRPr="00001C8C">
        <w:rPr>
          <w:sz w:val="22"/>
          <w:szCs w:val="22"/>
        </w:rPr>
        <w:t>billing</w:t>
      </w:r>
      <w:r w:rsidR="00A81F24" w:rsidRPr="00001C8C">
        <w:rPr>
          <w:sz w:val="22"/>
          <w:szCs w:val="22"/>
        </w:rPr>
        <w:t>, identity and access management, and FIX certification</w:t>
      </w:r>
      <w:r w:rsidRPr="00001C8C">
        <w:rPr>
          <w:sz w:val="22"/>
          <w:szCs w:val="22"/>
        </w:rPr>
        <w:t xml:space="preserve"> capabilities. The DSB will not be liable for the performance and security of the platform on the basis it has a dependency on third parties. </w:t>
      </w:r>
    </w:p>
    <w:p w14:paraId="5D8BCE60" w14:textId="77777777" w:rsidR="007625FD" w:rsidRDefault="007625FD" w:rsidP="007625FD">
      <w:pPr>
        <w:jc w:val="both"/>
        <w:rPr>
          <w:lang w:val="en-GB"/>
        </w:rPr>
      </w:pPr>
      <w:r>
        <w:rPr>
          <w:lang w:val="en-GB"/>
        </w:rPr>
        <w:t>For the avoidance of doubt, these COSP terms will only apply to UPI Users until such a point that the COSP is made available to clients of the existing OTC ISIN Service.</w:t>
      </w:r>
    </w:p>
    <w:p w14:paraId="57793003" w14:textId="77777777" w:rsidR="007625FD" w:rsidRPr="007924FD" w:rsidRDefault="007625FD" w:rsidP="007625FD">
      <w:pPr>
        <w:jc w:val="both"/>
        <w:rPr>
          <w:lang w:val="en-GB"/>
        </w:rPr>
      </w:pPr>
      <w:r>
        <w:rPr>
          <w:lang w:val="en-GB"/>
        </w:rPr>
        <w:t>On</w:t>
      </w:r>
      <w:r w:rsidRPr="007924FD">
        <w:rPr>
          <w:lang w:val="en-GB"/>
        </w:rPr>
        <w:t xml:space="preserve"> the </w:t>
      </w:r>
      <w:r>
        <w:rPr>
          <w:lang w:val="en-GB"/>
        </w:rPr>
        <w:t>COSP</w:t>
      </w:r>
      <w:r w:rsidRPr="007924FD">
        <w:rPr>
          <w:lang w:val="en-GB"/>
        </w:rPr>
        <w:t xml:space="preserve">, the default functionality will be for </w:t>
      </w:r>
      <w:r>
        <w:rPr>
          <w:lang w:val="en-GB"/>
        </w:rPr>
        <w:t>UPI Users</w:t>
      </w:r>
      <w:r w:rsidRPr="007924FD">
        <w:rPr>
          <w:lang w:val="en-GB"/>
        </w:rPr>
        <w:t xml:space="preserve"> to review and approve </w:t>
      </w:r>
      <w:r>
        <w:rPr>
          <w:lang w:val="en-GB"/>
        </w:rPr>
        <w:t xml:space="preserve">online a Subscription Form when they onboard to the service. </w:t>
      </w:r>
      <w:r w:rsidRPr="007924FD">
        <w:rPr>
          <w:lang w:val="en-GB"/>
        </w:rPr>
        <w:t xml:space="preserve">The </w:t>
      </w:r>
      <w:r>
        <w:rPr>
          <w:lang w:val="en-GB"/>
        </w:rPr>
        <w:t>Subscription Form</w:t>
      </w:r>
      <w:r w:rsidRPr="007924FD">
        <w:rPr>
          <w:lang w:val="en-GB"/>
        </w:rPr>
        <w:t xml:space="preserve"> will be pre-populated with data entered into the system by the </w:t>
      </w:r>
      <w:r>
        <w:rPr>
          <w:lang w:val="en-GB"/>
        </w:rPr>
        <w:t>User</w:t>
      </w:r>
      <w:r w:rsidRPr="007924FD">
        <w:rPr>
          <w:lang w:val="en-GB"/>
        </w:rPr>
        <w:t xml:space="preserve"> (e.g., </w:t>
      </w:r>
      <w:r>
        <w:rPr>
          <w:lang w:val="en-GB"/>
        </w:rPr>
        <w:t>the data derived from the LEI (</w:t>
      </w:r>
      <w:r w:rsidRPr="007924FD">
        <w:rPr>
          <w:lang w:val="en-GB"/>
        </w:rPr>
        <w:t>Legal Entity name, company number, legal address</w:t>
      </w:r>
      <w:r>
        <w:rPr>
          <w:lang w:val="en-GB"/>
        </w:rPr>
        <w:t>)</w:t>
      </w:r>
      <w:r w:rsidRPr="007924FD">
        <w:rPr>
          <w:lang w:val="en-GB"/>
        </w:rPr>
        <w:t xml:space="preserve">, </w:t>
      </w:r>
      <w:r>
        <w:rPr>
          <w:lang w:val="en-GB"/>
        </w:rPr>
        <w:t xml:space="preserve">the </w:t>
      </w:r>
      <w:r w:rsidRPr="007924FD">
        <w:rPr>
          <w:lang w:val="en-GB"/>
        </w:rPr>
        <w:t xml:space="preserve">list of any affiliates to be covered under the </w:t>
      </w:r>
      <w:r>
        <w:rPr>
          <w:lang w:val="en-GB"/>
        </w:rPr>
        <w:t>subscription</w:t>
      </w:r>
      <w:r w:rsidRPr="007924FD">
        <w:rPr>
          <w:lang w:val="en-GB"/>
        </w:rPr>
        <w:t xml:space="preserve">). The </w:t>
      </w:r>
      <w:r>
        <w:rPr>
          <w:lang w:val="en-GB"/>
        </w:rPr>
        <w:t>Subscription Form</w:t>
      </w:r>
      <w:r w:rsidRPr="007924FD">
        <w:rPr>
          <w:lang w:val="en-GB"/>
        </w:rPr>
        <w:t xml:space="preserve"> will have the DSB's digital signature already included on the signature block when the </w:t>
      </w:r>
      <w:r>
        <w:rPr>
          <w:lang w:val="en-GB"/>
        </w:rPr>
        <w:t>Subscription Form</w:t>
      </w:r>
      <w:r w:rsidRPr="007924FD">
        <w:rPr>
          <w:lang w:val="en-GB"/>
        </w:rPr>
        <w:t xml:space="preserve"> </w:t>
      </w:r>
      <w:r>
        <w:rPr>
          <w:lang w:val="en-GB"/>
        </w:rPr>
        <w:t>are</w:t>
      </w:r>
      <w:r w:rsidRPr="007924FD">
        <w:rPr>
          <w:lang w:val="en-GB"/>
        </w:rPr>
        <w:t xml:space="preserve"> presented for online review by the </w:t>
      </w:r>
      <w:r>
        <w:rPr>
          <w:lang w:val="en-GB"/>
        </w:rPr>
        <w:t>User</w:t>
      </w:r>
      <w:r w:rsidRPr="007924FD">
        <w:rPr>
          <w:lang w:val="en-GB"/>
        </w:rPr>
        <w:t xml:space="preserve">. </w:t>
      </w:r>
    </w:p>
    <w:p w14:paraId="5F33B596" w14:textId="77777777" w:rsidR="007625FD" w:rsidRPr="007924FD" w:rsidRDefault="007625FD" w:rsidP="007625FD">
      <w:pPr>
        <w:jc w:val="both"/>
        <w:rPr>
          <w:lang w:val="en-GB"/>
        </w:rPr>
      </w:pPr>
      <w:r w:rsidRPr="007924FD">
        <w:rPr>
          <w:lang w:val="en-GB"/>
        </w:rPr>
        <w:t xml:space="preserve">The </w:t>
      </w:r>
      <w:r>
        <w:rPr>
          <w:lang w:val="en-GB"/>
        </w:rPr>
        <w:t>User</w:t>
      </w:r>
      <w:r w:rsidRPr="007924FD">
        <w:rPr>
          <w:lang w:val="en-GB"/>
        </w:rPr>
        <w:t xml:space="preserve"> will have the opportunity to review and approve the document, at which point the </w:t>
      </w:r>
      <w:r>
        <w:rPr>
          <w:lang w:val="en-GB"/>
        </w:rPr>
        <w:t>User</w:t>
      </w:r>
      <w:r w:rsidRPr="007924FD">
        <w:rPr>
          <w:lang w:val="en-GB"/>
        </w:rPr>
        <w:t xml:space="preserve"> will be able to apply a digital signature. The </w:t>
      </w:r>
      <w:r>
        <w:rPr>
          <w:lang w:val="en-GB"/>
        </w:rPr>
        <w:t>User</w:t>
      </w:r>
      <w:r w:rsidRPr="007924FD">
        <w:rPr>
          <w:lang w:val="en-GB"/>
        </w:rPr>
        <w:t xml:space="preserve"> signature(s) will be the final signature on the </w:t>
      </w:r>
      <w:r>
        <w:rPr>
          <w:lang w:val="en-GB"/>
        </w:rPr>
        <w:t>Subscription Form, given the pre-population of the DSB’s digital signature</w:t>
      </w:r>
      <w:r w:rsidRPr="007924FD">
        <w:rPr>
          <w:lang w:val="en-GB"/>
        </w:rPr>
        <w:t>.</w:t>
      </w:r>
    </w:p>
    <w:p w14:paraId="5DCA14CE" w14:textId="77777777" w:rsidR="007625FD" w:rsidRDefault="007625FD" w:rsidP="007625FD">
      <w:pPr>
        <w:jc w:val="both"/>
        <w:rPr>
          <w:lang w:val="en-GB"/>
        </w:rPr>
      </w:pPr>
      <w:r w:rsidRPr="007924FD">
        <w:rPr>
          <w:lang w:val="en-GB"/>
        </w:rPr>
        <w:t xml:space="preserve">There will be an option for </w:t>
      </w:r>
      <w:r>
        <w:rPr>
          <w:lang w:val="en-GB"/>
        </w:rPr>
        <w:t>Users</w:t>
      </w:r>
      <w:r w:rsidRPr="007924FD">
        <w:rPr>
          <w:lang w:val="en-GB"/>
        </w:rPr>
        <w:t xml:space="preserve"> to download the </w:t>
      </w:r>
      <w:r>
        <w:rPr>
          <w:lang w:val="en-GB"/>
        </w:rPr>
        <w:t>Subscription Form</w:t>
      </w:r>
      <w:r w:rsidRPr="007924FD">
        <w:rPr>
          <w:lang w:val="en-GB"/>
        </w:rPr>
        <w:t xml:space="preserve"> for a 'wet signature', or where multiple signatures are required.</w:t>
      </w:r>
    </w:p>
    <w:p w14:paraId="2C8D1075" w14:textId="747F9175" w:rsidR="007625FD" w:rsidRDefault="007625FD" w:rsidP="007625FD">
      <w:pPr>
        <w:jc w:val="both"/>
        <w:rPr>
          <w:lang w:val="en-GB"/>
        </w:rPr>
      </w:pPr>
      <w:r>
        <w:rPr>
          <w:lang w:val="en-GB"/>
        </w:rPr>
        <w:t>New OTC ISIN Users will continue to follow the existing manual approach until such a point that</w:t>
      </w:r>
      <w:r w:rsidR="00EA289A">
        <w:rPr>
          <w:lang w:val="en-GB"/>
        </w:rPr>
        <w:t xml:space="preserve"> there is agreement </w:t>
      </w:r>
      <w:r w:rsidR="0018558D">
        <w:rPr>
          <w:lang w:val="en-GB"/>
        </w:rPr>
        <w:t>to a roadmap to roll-out the</w:t>
      </w:r>
      <w:r>
        <w:rPr>
          <w:lang w:val="en-GB"/>
        </w:rPr>
        <w:t xml:space="preserve"> COSP to OTC ISIN Users.</w:t>
      </w:r>
      <w:r w:rsidR="00F70642">
        <w:rPr>
          <w:lang w:val="en-GB"/>
        </w:rPr>
        <w:t xml:space="preserve"> </w:t>
      </w:r>
      <w:r w:rsidR="00DC61E6">
        <w:rPr>
          <w:lang w:val="en-GB"/>
        </w:rPr>
        <w:t>Such a roadmap will be s</w:t>
      </w:r>
      <w:r w:rsidR="005D29C2">
        <w:rPr>
          <w:lang w:val="en-GB"/>
        </w:rPr>
        <w:t xml:space="preserve">ubject to further analysis and </w:t>
      </w:r>
      <w:r w:rsidR="00186E85">
        <w:rPr>
          <w:lang w:val="en-GB"/>
        </w:rPr>
        <w:t>stakeholder engagement</w:t>
      </w:r>
      <w:r w:rsidR="005D29C2">
        <w:rPr>
          <w:lang w:val="en-GB"/>
        </w:rPr>
        <w:t>.</w:t>
      </w:r>
    </w:p>
    <w:p w14:paraId="3ABD2861" w14:textId="77777777" w:rsidR="007625FD" w:rsidRPr="00FF5A99" w:rsidRDefault="007625FD" w:rsidP="007625FD">
      <w:pPr>
        <w:jc w:val="both"/>
        <w:rPr>
          <w:lang w:val="en-GB"/>
        </w:rPr>
      </w:pPr>
      <w:r w:rsidRPr="00FF5A99">
        <w:lastRenderedPageBreak/>
        <w:t xml:space="preserve">To align with the terms of the DSB’s existing agreement, </w:t>
      </w:r>
      <w:r>
        <w:t>User</w:t>
      </w:r>
      <w:r w:rsidRPr="00FF5A99">
        <w:t xml:space="preserve">s will be required to have implementation and maintenance of adequate procedures designed to promote and achieve compliance with applicable laws, including Anti-Bribery Laws, Anti-Money Laundering Laws, Anti-Modern Slavery Laws and Sanctions Laws. </w:t>
      </w:r>
    </w:p>
    <w:p w14:paraId="05C2DCD8" w14:textId="77777777" w:rsidR="007625FD" w:rsidRDefault="007625FD" w:rsidP="007625FD">
      <w:pPr>
        <w:jc w:val="both"/>
        <w:rPr>
          <w:lang w:val="en-GB"/>
        </w:rPr>
      </w:pPr>
      <w:r w:rsidRPr="00FF5A99">
        <w:rPr>
          <w:lang w:val="en-GB"/>
        </w:rPr>
        <w:t xml:space="preserve">The onus is on the member of staff acting on the behalf of a given </w:t>
      </w:r>
      <w:r>
        <w:rPr>
          <w:lang w:val="en-GB"/>
        </w:rPr>
        <w:t>User</w:t>
      </w:r>
      <w:r w:rsidRPr="00FF5A99">
        <w:rPr>
          <w:lang w:val="en-GB"/>
        </w:rPr>
        <w:t xml:space="preserve"> entity to have the necessary authority to do so when, for example </w:t>
      </w:r>
      <w:r>
        <w:rPr>
          <w:lang w:val="en-GB"/>
        </w:rPr>
        <w:t>they</w:t>
      </w:r>
      <w:r w:rsidRPr="00FF5A99">
        <w:rPr>
          <w:lang w:val="en-GB"/>
        </w:rPr>
        <w:t xml:space="preserve"> register for use of the </w:t>
      </w:r>
      <w:r>
        <w:rPr>
          <w:lang w:val="en-GB"/>
        </w:rPr>
        <w:t>COSP</w:t>
      </w:r>
      <w:r w:rsidRPr="00FF5A99">
        <w:rPr>
          <w:lang w:val="en-GB"/>
        </w:rPr>
        <w:t xml:space="preserve">, use the platform, accepts Terms &amp; </w:t>
      </w:r>
      <w:proofErr w:type="gramStart"/>
      <w:r w:rsidRPr="00FF5A99">
        <w:rPr>
          <w:lang w:val="en-GB"/>
        </w:rPr>
        <w:t>Conditions</w:t>
      </w:r>
      <w:proofErr w:type="gramEnd"/>
      <w:r w:rsidRPr="00FF5A99">
        <w:rPr>
          <w:lang w:val="en-GB"/>
        </w:rPr>
        <w:t xml:space="preserve"> and execute </w:t>
      </w:r>
      <w:r>
        <w:rPr>
          <w:lang w:val="en-GB"/>
        </w:rPr>
        <w:t>the</w:t>
      </w:r>
      <w:r w:rsidRPr="00FF5A99">
        <w:rPr>
          <w:lang w:val="en-GB"/>
        </w:rPr>
        <w:t xml:space="preserve"> Subscription Form.</w:t>
      </w:r>
    </w:p>
    <w:p w14:paraId="1F9F0883" w14:textId="65FF567D" w:rsidR="007625FD" w:rsidRDefault="007625FD" w:rsidP="007625FD">
      <w:pPr>
        <w:jc w:val="both"/>
        <w:rPr>
          <w:lang w:val="en-GB"/>
        </w:rPr>
      </w:pPr>
      <w:r>
        <w:rPr>
          <w:lang w:val="en-GB"/>
        </w:rPr>
        <w:t>The DSB expects to</w:t>
      </w:r>
      <w:r w:rsidRPr="00975DBE">
        <w:rPr>
          <w:lang w:val="en-GB"/>
        </w:rPr>
        <w:t xml:space="preserve"> </w:t>
      </w:r>
      <w:r w:rsidR="00E22DA3">
        <w:rPr>
          <w:lang w:val="en-GB"/>
        </w:rPr>
        <w:t>determine a maximum</w:t>
      </w:r>
      <w:r w:rsidRPr="00975DBE">
        <w:rPr>
          <w:lang w:val="en-GB"/>
        </w:rPr>
        <w:t xml:space="preserve"> number of client staff </w:t>
      </w:r>
      <w:r>
        <w:rPr>
          <w:lang w:val="en-GB"/>
        </w:rPr>
        <w:t xml:space="preserve">per fee-paying entity </w:t>
      </w:r>
      <w:r w:rsidRPr="00975DBE">
        <w:rPr>
          <w:lang w:val="en-GB"/>
        </w:rPr>
        <w:t>who can be g</w:t>
      </w:r>
      <w:r>
        <w:rPr>
          <w:lang w:val="en-GB"/>
        </w:rPr>
        <w:t>ranted</w:t>
      </w:r>
      <w:r w:rsidRPr="00975DBE">
        <w:rPr>
          <w:lang w:val="en-GB"/>
        </w:rPr>
        <w:t xml:space="preserve"> </w:t>
      </w:r>
      <w:r>
        <w:rPr>
          <w:lang w:val="en-GB"/>
        </w:rPr>
        <w:t xml:space="preserve">roles to </w:t>
      </w:r>
      <w:r w:rsidRPr="00975DBE">
        <w:rPr>
          <w:lang w:val="en-GB"/>
        </w:rPr>
        <w:t>access to use the</w:t>
      </w:r>
      <w:r>
        <w:rPr>
          <w:lang w:val="en-GB"/>
        </w:rPr>
        <w:t xml:space="preserve"> COSP</w:t>
      </w:r>
      <w:r w:rsidRPr="00975DBE">
        <w:rPr>
          <w:lang w:val="en-GB"/>
        </w:rPr>
        <w:t xml:space="preserve"> free-of-charge (</w:t>
      </w:r>
      <w:r>
        <w:rPr>
          <w:lang w:val="en-GB"/>
        </w:rPr>
        <w:t xml:space="preserve">i.e., </w:t>
      </w:r>
      <w:r w:rsidRPr="00975DBE">
        <w:rPr>
          <w:lang w:val="en-GB"/>
        </w:rPr>
        <w:t xml:space="preserve">included in the UPI </w:t>
      </w:r>
      <w:r>
        <w:rPr>
          <w:lang w:val="en-GB"/>
        </w:rPr>
        <w:t>S</w:t>
      </w:r>
      <w:r w:rsidRPr="00975DBE">
        <w:rPr>
          <w:lang w:val="en-GB"/>
        </w:rPr>
        <w:t xml:space="preserve">ervice </w:t>
      </w:r>
      <w:r>
        <w:rPr>
          <w:lang w:val="en-GB"/>
        </w:rPr>
        <w:t xml:space="preserve">annual User </w:t>
      </w:r>
      <w:r w:rsidRPr="00975DBE">
        <w:rPr>
          <w:lang w:val="en-GB"/>
        </w:rPr>
        <w:t>fees).</w:t>
      </w:r>
      <w:r>
        <w:rPr>
          <w:lang w:val="en-GB"/>
        </w:rPr>
        <w:t xml:space="preserve"> The rationale for this is to appropriately manage the operational run cost of the platform, and to encourage efficient access management by clients.</w:t>
      </w:r>
    </w:p>
    <w:p w14:paraId="33164C5A" w14:textId="77777777" w:rsidR="007625FD" w:rsidRDefault="007625FD" w:rsidP="007625FD">
      <w:pPr>
        <w:jc w:val="both"/>
        <w:rPr>
          <w:lang w:val="en-GB"/>
        </w:rPr>
      </w:pPr>
      <w:r>
        <w:rPr>
          <w:lang w:val="en-GB"/>
        </w:rPr>
        <w:t xml:space="preserve">Until the Subscription Form is executed, the DSB expects that the </w:t>
      </w:r>
      <w:r>
        <w:t xml:space="preserve">number of logins will be the same for all prospective clients. </w:t>
      </w:r>
      <w:r>
        <w:rPr>
          <w:lang w:val="en-GB"/>
        </w:rPr>
        <w:t xml:space="preserve">Once a particular </w:t>
      </w:r>
      <w:r w:rsidDel="00D3207B">
        <w:rPr>
          <w:lang w:val="en-GB"/>
        </w:rPr>
        <w:t>User</w:t>
      </w:r>
      <w:r>
        <w:rPr>
          <w:lang w:val="en-GB"/>
        </w:rPr>
        <w:t xml:space="preserve"> Type has been selected, the number of logins may be tiered based on </w:t>
      </w:r>
      <w:r w:rsidDel="00D3207B">
        <w:rPr>
          <w:lang w:val="en-GB"/>
        </w:rPr>
        <w:t>User</w:t>
      </w:r>
      <w:r>
        <w:rPr>
          <w:lang w:val="en-GB"/>
        </w:rPr>
        <w:t xml:space="preserve"> Type (given the fee differential between </w:t>
      </w:r>
      <w:r w:rsidDel="00D3207B">
        <w:rPr>
          <w:lang w:val="en-GB"/>
        </w:rPr>
        <w:t>User</w:t>
      </w:r>
      <w:r>
        <w:rPr>
          <w:lang w:val="en-GB"/>
        </w:rPr>
        <w:t xml:space="preserve"> Types).</w:t>
      </w:r>
      <w:r w:rsidRPr="002E77BF">
        <w:rPr>
          <w:lang w:val="en-GB"/>
        </w:rPr>
        <w:t xml:space="preserve"> </w:t>
      </w:r>
      <w:r>
        <w:rPr>
          <w:lang w:val="en-GB"/>
        </w:rPr>
        <w:t xml:space="preserve">The appropriate limit for logins per </w:t>
      </w:r>
      <w:r w:rsidDel="00D3207B">
        <w:rPr>
          <w:lang w:val="en-GB"/>
        </w:rPr>
        <w:t>User</w:t>
      </w:r>
      <w:r>
        <w:rPr>
          <w:lang w:val="en-GB"/>
        </w:rPr>
        <w:t xml:space="preserve"> Type and the impact on fee levels is currently being considered by the DSB, and whether to make available to clients an additional number of COSP logins for an additional charge where requested.</w:t>
      </w:r>
    </w:p>
    <w:p w14:paraId="797BEC76" w14:textId="77777777" w:rsidR="007625FD" w:rsidRDefault="007625FD" w:rsidP="007625FD">
      <w:pPr>
        <w:jc w:val="both"/>
        <w:rPr>
          <w:lang w:val="en-GB"/>
        </w:rPr>
      </w:pPr>
      <w:r>
        <w:t>The DSB is in the process of defining an approach to managing client inactivity on the COSP up until the onboarding process is complete (i.e., to address the scenario of the onboarding process potentially being aborted by a prospective client). This approach will outline the notifications sent after a certain period of inactivity and stipulating the usage conditions required to be met before client logins are inactivated or deleted. For example, between the point of initial registration of the client profile, and the point of executing the Subscription Form, if a period of 30 days elapses with no activity, then a notification could be sent to advise the COSP User that access will be removed if there is no further activity within a further 30 days. Once the client is onboarded and legal documentation executed, there will be a process to review COSP usage, and to manage joiners and leavers. This will allow the DSB to effectively monitor and manage system usage, and the associated cost of unused licenses.</w:t>
      </w:r>
    </w:p>
    <w:p w14:paraId="222B6DEB" w14:textId="77777777" w:rsidR="007625FD" w:rsidRDefault="007625FD" w:rsidP="007625FD">
      <w:pPr>
        <w:jc w:val="both"/>
        <w:rPr>
          <w:lang w:val="en-GB"/>
        </w:rPr>
      </w:pPr>
      <w:r>
        <w:rPr>
          <w:lang w:val="en-GB"/>
        </w:rPr>
        <w:t xml:space="preserve">These measures will be reflected in the COSP Platform Terms, but also in the Charges </w:t>
      </w:r>
      <w:r w:rsidRPr="0032020E">
        <w:rPr>
          <w:lang w:val="en-GB"/>
        </w:rPr>
        <w:t>Policy (</w:t>
      </w:r>
      <w:r w:rsidRPr="00E73823">
        <w:rPr>
          <w:lang w:val="en-GB"/>
        </w:rPr>
        <w:t>and potentially cross-referen</w:t>
      </w:r>
      <w:r>
        <w:rPr>
          <w:lang w:val="en-GB"/>
        </w:rPr>
        <w:t>ced</w:t>
      </w:r>
      <w:r w:rsidRPr="00E73823">
        <w:rPr>
          <w:lang w:val="en-GB"/>
        </w:rPr>
        <w:t xml:space="preserve"> in other Policies if appropriate upon document revision).</w:t>
      </w:r>
    </w:p>
    <w:p w14:paraId="77249E5E" w14:textId="77777777" w:rsidR="007625FD" w:rsidRPr="007E531D" w:rsidRDefault="007625FD" w:rsidP="007625FD">
      <w:pPr>
        <w:jc w:val="both"/>
        <w:rPr>
          <w:b/>
          <w:sz w:val="24"/>
          <w:szCs w:val="24"/>
          <w:lang w:val="en-GB"/>
        </w:rPr>
      </w:pPr>
      <w:r w:rsidRPr="007E531D">
        <w:rPr>
          <w:b/>
          <w:sz w:val="24"/>
          <w:szCs w:val="24"/>
          <w:lang w:val="en-GB"/>
        </w:rPr>
        <w:t>Registered Users</w:t>
      </w:r>
    </w:p>
    <w:p w14:paraId="52DC7FB9" w14:textId="77777777" w:rsidR="007625FD" w:rsidRPr="00623841" w:rsidRDefault="007625FD" w:rsidP="007625FD">
      <w:pPr>
        <w:jc w:val="both"/>
        <w:rPr>
          <w:b/>
          <w:bCs/>
          <w:u w:val="single"/>
        </w:rPr>
      </w:pPr>
      <w:r w:rsidRPr="00623841">
        <w:rPr>
          <w:b/>
          <w:bCs/>
          <w:u w:val="single"/>
        </w:rPr>
        <w:t>Supporting Information:</w:t>
      </w:r>
    </w:p>
    <w:p w14:paraId="701CB48B" w14:textId="430B327E" w:rsidR="007625FD" w:rsidRPr="00A464FF" w:rsidRDefault="007625FD" w:rsidP="007625FD">
      <w:pPr>
        <w:jc w:val="both"/>
      </w:pPr>
      <w:r>
        <w:rPr>
          <w:lang w:val="en-GB"/>
        </w:rPr>
        <w:t xml:space="preserve">For the </w:t>
      </w:r>
      <w:r w:rsidR="00F07F21">
        <w:rPr>
          <w:lang w:val="en-GB"/>
        </w:rPr>
        <w:t>UPI Service</w:t>
      </w:r>
      <w:r>
        <w:rPr>
          <w:lang w:val="en-GB"/>
        </w:rPr>
        <w:t xml:space="preserve">, </w:t>
      </w:r>
      <w:r w:rsidRPr="000837D8">
        <w:rPr>
          <w:lang w:val="en-GB"/>
        </w:rPr>
        <w:t>Registered</w:t>
      </w:r>
      <w:r>
        <w:rPr>
          <w:lang w:val="en-GB"/>
        </w:rPr>
        <w:t xml:space="preserve"> Users</w:t>
      </w:r>
      <w:r w:rsidRPr="000837D8">
        <w:rPr>
          <w:lang w:val="en-GB"/>
        </w:rPr>
        <w:t xml:space="preserve"> (non-fee paying) will </w:t>
      </w:r>
      <w:r>
        <w:rPr>
          <w:lang w:val="en-GB"/>
        </w:rPr>
        <w:t xml:space="preserve">be required to complete a simplified online registration process via the DSB website (compared to the current OTC ISIN paper-based registration </w:t>
      </w:r>
      <w:r w:rsidRPr="00A464FF">
        <w:t xml:space="preserve">process). They will be required to accept the DSB’s terms &amp; conditions for use of the </w:t>
      </w:r>
      <w:r w:rsidR="00F07F21">
        <w:t>UPI Service</w:t>
      </w:r>
      <w:r w:rsidRPr="00A464FF">
        <w:t>.</w:t>
      </w:r>
    </w:p>
    <w:p w14:paraId="18473E9F" w14:textId="77777777" w:rsidR="007625FD" w:rsidRPr="00A464FF" w:rsidRDefault="007625FD" w:rsidP="007625FD">
      <w:pPr>
        <w:jc w:val="both"/>
      </w:pPr>
      <w:r w:rsidRPr="00A464FF">
        <w:t>This</w:t>
      </w:r>
      <w:r>
        <w:rPr>
          <w:lang w:val="en-GB"/>
        </w:rPr>
        <w:t xml:space="preserve"> will provide the Registered </w:t>
      </w:r>
      <w:r w:rsidDel="00D3207B">
        <w:rPr>
          <w:lang w:val="en-GB"/>
        </w:rPr>
        <w:t>User</w:t>
      </w:r>
      <w:r>
        <w:rPr>
          <w:lang w:val="en-GB"/>
        </w:rPr>
        <w:t xml:space="preserve"> with a login and password with which to access the UPI Service via the GUI mechanism (that is, the UPI equivalent of the </w:t>
      </w:r>
      <w:hyperlink r:id="rId36" w:history="1">
        <w:r w:rsidRPr="00253503">
          <w:rPr>
            <w:rStyle w:val="Hyperlink"/>
            <w:lang w:val="en-GB"/>
          </w:rPr>
          <w:t>current OTC ISIN GUI login screen</w:t>
        </w:r>
      </w:hyperlink>
      <w:r>
        <w:rPr>
          <w:lang w:val="en-GB"/>
        </w:rPr>
        <w:t xml:space="preserve">). Registration is required for security reasons and for User analytics and metrics to assist with evolution of the </w:t>
      </w:r>
      <w:r w:rsidRPr="00A464FF">
        <w:t xml:space="preserve">service. </w:t>
      </w:r>
    </w:p>
    <w:p w14:paraId="003A12A3" w14:textId="77777777" w:rsidR="007625FD" w:rsidRDefault="007625FD" w:rsidP="007625FD">
      <w:pPr>
        <w:jc w:val="both"/>
        <w:rPr>
          <w:lang w:val="en-GB"/>
        </w:rPr>
      </w:pPr>
      <w:r w:rsidRPr="00A464FF">
        <w:lastRenderedPageBreak/>
        <w:t>UPI Registered Users</w:t>
      </w:r>
      <w:r>
        <w:rPr>
          <w:lang w:val="en-GB"/>
        </w:rPr>
        <w:t xml:space="preserve"> will not require </w:t>
      </w:r>
      <w:r w:rsidRPr="000837D8">
        <w:rPr>
          <w:lang w:val="en-GB"/>
        </w:rPr>
        <w:t>access</w:t>
      </w:r>
      <w:r>
        <w:rPr>
          <w:lang w:val="en-GB"/>
        </w:rPr>
        <w:t xml:space="preserve"> to the COSP like fee-paying clients, as there is no legal agreement to sign or payment details to provide. Registered User</w:t>
      </w:r>
      <w:r w:rsidRPr="000837D8">
        <w:rPr>
          <w:lang w:val="en-GB"/>
        </w:rPr>
        <w:t xml:space="preserve">s will have access to a broad suite of information on the DSB website to </w:t>
      </w:r>
      <w:r>
        <w:rPr>
          <w:lang w:val="en-GB"/>
        </w:rPr>
        <w:t>assist with understanding</w:t>
      </w:r>
      <w:r w:rsidRPr="000837D8">
        <w:rPr>
          <w:lang w:val="en-GB"/>
        </w:rPr>
        <w:t xml:space="preserve"> UPI </w:t>
      </w:r>
      <w:r>
        <w:rPr>
          <w:lang w:val="en-GB"/>
        </w:rPr>
        <w:t>S</w:t>
      </w:r>
      <w:r w:rsidRPr="000837D8">
        <w:rPr>
          <w:lang w:val="en-GB"/>
        </w:rPr>
        <w:t xml:space="preserve">ervice </w:t>
      </w:r>
      <w:r>
        <w:rPr>
          <w:lang w:val="en-GB"/>
        </w:rPr>
        <w:t xml:space="preserve">functionality </w:t>
      </w:r>
      <w:r w:rsidRPr="000837D8">
        <w:rPr>
          <w:lang w:val="en-GB"/>
        </w:rPr>
        <w:t>and to troubleshoot</w:t>
      </w:r>
      <w:r>
        <w:rPr>
          <w:lang w:val="en-GB"/>
        </w:rPr>
        <w:t xml:space="preserve"> </w:t>
      </w:r>
      <w:r w:rsidRPr="000837D8">
        <w:rPr>
          <w:lang w:val="en-GB"/>
        </w:rPr>
        <w:t xml:space="preserve">any queries they have. </w:t>
      </w:r>
    </w:p>
    <w:p w14:paraId="4EE9A585" w14:textId="77777777" w:rsidR="007625FD" w:rsidRDefault="007625FD" w:rsidP="007625FD">
      <w:pPr>
        <w:spacing w:after="0"/>
        <w:jc w:val="both"/>
        <w:rPr>
          <w:lang w:val="en-GB"/>
        </w:rPr>
      </w:pPr>
    </w:p>
    <w:p w14:paraId="747FC2E5" w14:textId="77777777" w:rsidR="007625FD" w:rsidRDefault="007625FD" w:rsidP="007625FD">
      <w:pPr>
        <w:jc w:val="both"/>
        <w:rPr>
          <w:b/>
          <w:bCs/>
          <w:u w:val="single"/>
        </w:rPr>
      </w:pPr>
      <w:r w:rsidRPr="00623841">
        <w:rPr>
          <w:b/>
          <w:bCs/>
          <w:u w:val="single"/>
        </w:rPr>
        <w:t>DSB Proposal:</w:t>
      </w:r>
    </w:p>
    <w:p w14:paraId="6464C2C6" w14:textId="77777777" w:rsidR="007625FD" w:rsidRPr="00A464FF" w:rsidRDefault="007625FD" w:rsidP="007625FD">
      <w:pPr>
        <w:jc w:val="both"/>
      </w:pPr>
      <w:r>
        <w:rPr>
          <w:lang w:val="en-GB"/>
        </w:rPr>
        <w:t>The DSB expects that Registered Users will manage their own login to access the UPI Service via the GUI mechanism. As such, s</w:t>
      </w:r>
      <w:r w:rsidRPr="000837D8">
        <w:rPr>
          <w:lang w:val="en-GB"/>
        </w:rPr>
        <w:t xml:space="preserve">hould </w:t>
      </w:r>
      <w:r>
        <w:rPr>
          <w:lang w:val="en-GB"/>
        </w:rPr>
        <w:t xml:space="preserve">for example a UPI Registered </w:t>
      </w:r>
      <w:r w:rsidDel="00D3207B">
        <w:rPr>
          <w:lang w:val="en-GB"/>
        </w:rPr>
        <w:t>User</w:t>
      </w:r>
      <w:r>
        <w:rPr>
          <w:lang w:val="en-GB"/>
        </w:rPr>
        <w:t xml:space="preserve"> change firms, and therefore their email address changes</w:t>
      </w:r>
      <w:r w:rsidRPr="000837D8">
        <w:rPr>
          <w:lang w:val="en-GB"/>
        </w:rPr>
        <w:t xml:space="preserve">, Registered </w:t>
      </w:r>
      <w:r>
        <w:rPr>
          <w:lang w:val="en-GB"/>
        </w:rPr>
        <w:t>User</w:t>
      </w:r>
      <w:r w:rsidRPr="000837D8">
        <w:rPr>
          <w:lang w:val="en-GB"/>
        </w:rPr>
        <w:t>s will be required to re-register</w:t>
      </w:r>
      <w:r>
        <w:rPr>
          <w:lang w:val="en-GB"/>
        </w:rPr>
        <w:t xml:space="preserve"> and create a new account</w:t>
      </w:r>
      <w:r w:rsidRPr="000837D8">
        <w:rPr>
          <w:lang w:val="en-GB"/>
        </w:rPr>
        <w:t xml:space="preserve">. </w:t>
      </w:r>
      <w:r>
        <w:rPr>
          <w:lang w:val="en-GB"/>
        </w:rPr>
        <w:t xml:space="preserve">Registered Users should expect that if their accounts are unused for three months, after a notification to prompt the </w:t>
      </w:r>
      <w:r w:rsidDel="00D3207B">
        <w:rPr>
          <w:lang w:val="en-GB"/>
        </w:rPr>
        <w:t>User</w:t>
      </w:r>
      <w:r>
        <w:rPr>
          <w:lang w:val="en-GB"/>
        </w:rPr>
        <w:t xml:space="preserve"> to log in to retain access, their account will be deleted if it is still inactive. After this point, the </w:t>
      </w:r>
      <w:r w:rsidDel="00D3207B">
        <w:rPr>
          <w:lang w:val="en-GB"/>
        </w:rPr>
        <w:t>User</w:t>
      </w:r>
      <w:r>
        <w:rPr>
          <w:lang w:val="en-GB"/>
        </w:rPr>
        <w:t xml:space="preserve"> will be required to repeat the simple registration process should access be required going forward. The rationale for this approach is to keep the process as simple as possible for the non-</w:t>
      </w:r>
      <w:proofErr w:type="gramStart"/>
      <w:r>
        <w:rPr>
          <w:lang w:val="en-GB"/>
        </w:rPr>
        <w:t>fee paying</w:t>
      </w:r>
      <w:proofErr w:type="gramEnd"/>
      <w:r>
        <w:rPr>
          <w:lang w:val="en-GB"/>
        </w:rPr>
        <w:t xml:space="preserve"> </w:t>
      </w:r>
      <w:r w:rsidDel="00D3207B">
        <w:rPr>
          <w:lang w:val="en-GB"/>
        </w:rPr>
        <w:t>User</w:t>
      </w:r>
      <w:r>
        <w:rPr>
          <w:lang w:val="en-GB"/>
        </w:rPr>
        <w:t xml:space="preserve">, and to adopt a process that represents a low operational overhead for </w:t>
      </w:r>
      <w:r w:rsidRPr="00A464FF">
        <w:t>the DSB.</w:t>
      </w:r>
    </w:p>
    <w:p w14:paraId="0891223D" w14:textId="77777777" w:rsidR="007625FD" w:rsidRPr="00A464FF" w:rsidRDefault="007625FD" w:rsidP="007625FD">
      <w:pPr>
        <w:jc w:val="both"/>
      </w:pPr>
      <w:r w:rsidRPr="00A464FF">
        <w:t xml:space="preserve">Should Registered Users require a higher level of access and/or support, they will have the option of upgrading their service to one of the fee-paying </w:t>
      </w:r>
      <w:r w:rsidRPr="00A464FF" w:rsidDel="00D3207B">
        <w:t>User</w:t>
      </w:r>
      <w:r w:rsidRPr="00A464FF">
        <w:t xml:space="preserve"> Types.</w:t>
      </w:r>
    </w:p>
    <w:p w14:paraId="430619E1" w14:textId="33A0F71B" w:rsidR="007E1B7E" w:rsidRDefault="007625FD" w:rsidP="00A8431C">
      <w:pPr>
        <w:jc w:val="both"/>
        <w:rPr>
          <w:lang w:val="en-GB"/>
        </w:rPr>
      </w:pPr>
      <w:r w:rsidRPr="00E268BA">
        <w:t xml:space="preserve">The approach outlined above relates to new UPI clients upon launch of the platform. </w:t>
      </w:r>
      <w:r w:rsidR="007E1B7E" w:rsidRPr="00D51A8A">
        <w:rPr>
          <w:lang w:val="en-GB"/>
        </w:rPr>
        <w:t xml:space="preserve">A roadmap to transition to the same approach for new OTC ISIN Registered Users </w:t>
      </w:r>
      <w:r w:rsidR="007E1B7E" w:rsidRPr="00E268BA">
        <w:rPr>
          <w:lang w:val="en-GB"/>
        </w:rPr>
        <w:t xml:space="preserve">will be subject to further analysis and </w:t>
      </w:r>
      <w:r w:rsidR="002816DB">
        <w:rPr>
          <w:lang w:val="en-GB"/>
        </w:rPr>
        <w:t xml:space="preserve">stakeholder </w:t>
      </w:r>
      <w:r w:rsidR="00093B4A">
        <w:rPr>
          <w:lang w:val="en-GB"/>
        </w:rPr>
        <w:t>engagement</w:t>
      </w:r>
      <w:r w:rsidR="007E1B7E" w:rsidRPr="00E268BA">
        <w:rPr>
          <w:lang w:val="en-GB"/>
        </w:rPr>
        <w:t>.</w:t>
      </w:r>
    </w:p>
    <w:p w14:paraId="42DB3EC0" w14:textId="1EE5306E" w:rsidR="007625FD" w:rsidRDefault="007625FD" w:rsidP="007625FD">
      <w:pPr>
        <w:jc w:val="both"/>
        <w:rPr>
          <w:lang w:val="en-GB"/>
        </w:rPr>
      </w:pPr>
    </w:p>
    <w:p w14:paraId="70031541" w14:textId="77777777" w:rsidR="007625FD" w:rsidRDefault="007625FD" w:rsidP="007625FD">
      <w:pPr>
        <w:spacing w:after="0"/>
        <w:rPr>
          <w:lang w:val="en-GB"/>
        </w:rPr>
      </w:pPr>
    </w:p>
    <w:p w14:paraId="41533FB8" w14:textId="77777777" w:rsidR="007625FD" w:rsidRPr="00623841" w:rsidRDefault="007625FD" w:rsidP="007625FD">
      <w:pPr>
        <w:pStyle w:val="Heading2"/>
        <w:spacing w:before="0" w:line="276" w:lineRule="auto"/>
      </w:pPr>
      <w:bookmarkStart w:id="80" w:name="_Ref83800460"/>
      <w:bookmarkStart w:id="81" w:name="_Toc86680477"/>
      <w:r>
        <w:lastRenderedPageBreak/>
        <w:t>Q4 – LEI for Entity I</w:t>
      </w:r>
      <w:r w:rsidRPr="00A31571">
        <w:t>denti</w:t>
      </w:r>
      <w:r>
        <w:t>ty Verification</w:t>
      </w:r>
      <w:bookmarkEnd w:id="80"/>
      <w:bookmarkEnd w:id="81"/>
      <w:r>
        <w:t xml:space="preserve"> </w:t>
      </w:r>
    </w:p>
    <w:p w14:paraId="31C05F45" w14:textId="77777777" w:rsidR="007625FD" w:rsidRDefault="007625FD" w:rsidP="007625FD">
      <w:pPr>
        <w:rPr>
          <w:lang w:val="en-GB"/>
        </w:rPr>
      </w:pPr>
      <w:r>
        <w:rPr>
          <w:noProof/>
          <w:lang w:eastAsia="en-GB"/>
        </w:rPr>
        <mc:AlternateContent>
          <mc:Choice Requires="wps">
            <w:drawing>
              <wp:anchor distT="45720" distB="45720" distL="114300" distR="114300" simplePos="0" relativeHeight="251658251" behindDoc="0" locked="0" layoutInCell="1" allowOverlap="1" wp14:anchorId="1A33C7BD" wp14:editId="4F826D02">
                <wp:simplePos x="0" y="0"/>
                <wp:positionH relativeFrom="margin">
                  <wp:posOffset>39024</wp:posOffset>
                </wp:positionH>
                <wp:positionV relativeFrom="paragraph">
                  <wp:posOffset>272242</wp:posOffset>
                </wp:positionV>
                <wp:extent cx="5716905" cy="1404620"/>
                <wp:effectExtent l="0" t="0" r="17145" b="1524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rgbClr val="FFFFFF"/>
                        </a:solidFill>
                        <a:ln w="9525">
                          <a:solidFill>
                            <a:srgbClr val="04AEB9"/>
                          </a:solidFill>
                          <a:miter lim="800000"/>
                          <a:headEnd/>
                          <a:tailEnd/>
                        </a:ln>
                      </wps:spPr>
                      <wps:txbx>
                        <w:txbxContent>
                          <w:p w14:paraId="53C42988"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277A2199" w14:textId="20862117" w:rsidR="007625FD" w:rsidRPr="00394795" w:rsidRDefault="00B0488B" w:rsidP="007625FD">
                            <w:pPr>
                              <w:jc w:val="both"/>
                              <w:rPr>
                                <w:lang w:val="en-GB"/>
                              </w:rPr>
                            </w:pPr>
                            <w:r w:rsidRPr="00394795">
                              <w:rPr>
                                <w:lang w:val="en-GB"/>
                              </w:rPr>
                              <w:t>To</w:t>
                            </w:r>
                            <w:r w:rsidR="007625FD" w:rsidRPr="00394795">
                              <w:rPr>
                                <w:lang w:val="en-GB"/>
                              </w:rPr>
                              <w:t xml:space="preserve"> register for the UPI Service, the</w:t>
                            </w:r>
                            <w:r w:rsidR="007625FD" w:rsidRPr="006F5202">
                              <w:rPr>
                                <w:lang w:val="en-GB"/>
                              </w:rPr>
                              <w:t xml:space="preserve"> DSB will require UPI </w:t>
                            </w:r>
                            <w:r w:rsidR="007625FD" w:rsidRPr="001F656C">
                              <w:rPr>
                                <w:lang w:val="en-GB"/>
                              </w:rPr>
                              <w:t>User</w:t>
                            </w:r>
                            <w:r w:rsidR="007625FD" w:rsidRPr="003E73F2">
                              <w:rPr>
                                <w:lang w:val="en-GB"/>
                              </w:rPr>
                              <w:t>s</w:t>
                            </w:r>
                            <w:r w:rsidR="007625FD" w:rsidRPr="00017ED4">
                              <w:rPr>
                                <w:lang w:val="en-GB"/>
                              </w:rPr>
                              <w:t xml:space="preserve"> to provide a</w:t>
                            </w:r>
                            <w:r w:rsidR="007625FD">
                              <w:rPr>
                                <w:lang w:val="en-GB"/>
                              </w:rPr>
                              <w:t>n active</w:t>
                            </w:r>
                            <w:r w:rsidR="007625FD" w:rsidRPr="00017ED4">
                              <w:rPr>
                                <w:lang w:val="en-GB"/>
                              </w:rPr>
                              <w:t xml:space="preserve"> Legal Entity Identifier (LEI) to </w:t>
                            </w:r>
                            <w:r w:rsidR="007625FD" w:rsidRPr="00A159DE">
                              <w:rPr>
                                <w:lang w:val="en-GB"/>
                              </w:rPr>
                              <w:t xml:space="preserve">enable the DSB to verify the identity of the User entity against the central record held by the Global Legal Entity Identifier Foundation (GLEIF). </w:t>
                            </w:r>
                          </w:p>
                          <w:p w14:paraId="1367A03C" w14:textId="77777777" w:rsidR="007625FD" w:rsidRDefault="007625FD" w:rsidP="007625FD">
                            <w:pPr>
                              <w:jc w:val="both"/>
                              <w:rPr>
                                <w:lang w:val="en-GB"/>
                              </w:rPr>
                            </w:pPr>
                            <w:r w:rsidRPr="006F5202">
                              <w:rPr>
                                <w:lang w:val="en-GB"/>
                              </w:rPr>
                              <w:t>There may be a lead time to obtain an</w:t>
                            </w:r>
                            <w:r w:rsidRPr="001F656C">
                              <w:rPr>
                                <w:lang w:val="en-GB"/>
                              </w:rPr>
                              <w:t xml:space="preserve"> LEI with the respective Local Operating Unit (LOU) (an organization authorized to issue LEIs to legal entities). As</w:t>
                            </w:r>
                            <w:r w:rsidRPr="003E73F2">
                              <w:rPr>
                                <w:lang w:val="en-GB"/>
                              </w:rPr>
                              <w:t xml:space="preserve"> such, entities who do not already have an LEI are encouraged to prepare in advance.</w:t>
                            </w:r>
                            <w:r>
                              <w:rPr>
                                <w:lang w:val="en-GB"/>
                              </w:rPr>
                              <w:t xml:space="preserve"> </w:t>
                            </w:r>
                            <w:r w:rsidRPr="00E40F70">
                              <w:rPr>
                                <w:lang w:val="en-GB"/>
                              </w:rPr>
                              <w:t>Clients who are not able to obtain an LEI will be handled on a case-by-case basis</w:t>
                            </w:r>
                            <w:r>
                              <w:rPr>
                                <w:lang w:val="en-GB"/>
                              </w:rPr>
                              <w:t>.</w:t>
                            </w:r>
                          </w:p>
                          <w:p w14:paraId="097AD360" w14:textId="77777777" w:rsidR="007625FD" w:rsidRPr="00A159DE" w:rsidRDefault="007625FD" w:rsidP="007625FD">
                            <w:pPr>
                              <w:jc w:val="both"/>
                              <w:rPr>
                                <w:lang w:val="en-GB"/>
                              </w:rPr>
                            </w:pPr>
                            <w:r>
                              <w:rPr>
                                <w:lang w:val="en-GB"/>
                              </w:rPr>
                              <w:t xml:space="preserve">New fee-paying OTC ISIN Users will not be required to provide an LEI until such time that the COSP is extended to cater for OTC ISIN Users. Existing fee-paying OTC ISIN Users will not need to provide an LEI until they either sign-up to the UPI Service or are transitioned to the new document structure (per the proposal in section </w:t>
                            </w:r>
                            <w:r>
                              <w:rPr>
                                <w:lang w:val="en-GB"/>
                              </w:rPr>
                              <w:fldChar w:fldCharType="begin"/>
                            </w:r>
                            <w:r>
                              <w:rPr>
                                <w:lang w:val="en-GB"/>
                              </w:rPr>
                              <w:instrText xml:space="preserve"> REF _Ref83907780 \r \h  \* MERGEFORMAT </w:instrText>
                            </w:r>
                            <w:r>
                              <w:rPr>
                                <w:lang w:val="en-GB"/>
                              </w:rPr>
                            </w:r>
                            <w:r>
                              <w:rPr>
                                <w:lang w:val="en-GB"/>
                              </w:rPr>
                              <w:fldChar w:fldCharType="separate"/>
                            </w:r>
                            <w:r>
                              <w:rPr>
                                <w:lang w:val="en-GB"/>
                              </w:rPr>
                              <w:t>5.2</w:t>
                            </w:r>
                            <w:r>
                              <w:rPr>
                                <w:lang w:val="en-GB"/>
                              </w:rPr>
                              <w:fldChar w:fldCharType="end"/>
                            </w:r>
                            <w:r>
                              <w:rPr>
                                <w:lang w:val="en-GB"/>
                              </w:rPr>
                              <w:t>).</w:t>
                            </w:r>
                          </w:p>
                          <w:p w14:paraId="480BB87B" w14:textId="77777777" w:rsidR="007625FD" w:rsidRPr="0076032B" w:rsidRDefault="007625FD" w:rsidP="007625FD">
                            <w:pPr>
                              <w:pStyle w:val="paragraph"/>
                              <w:spacing w:before="240" w:beforeAutospacing="0" w:after="120" w:afterAutospacing="0" w:line="276" w:lineRule="auto"/>
                              <w:jc w:val="both"/>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In keeping with current practice, e</w:t>
                            </w:r>
                            <w:r w:rsidRPr="00A159DE">
                              <w:rPr>
                                <w:rStyle w:val="normaltextrun"/>
                                <w:rFonts w:asciiTheme="minorHAnsi" w:hAnsiTheme="minorHAnsi" w:cstheme="minorHAnsi"/>
                                <w:color w:val="000000"/>
                                <w:sz w:val="22"/>
                                <w:szCs w:val="22"/>
                              </w:rPr>
                              <w:t>ligible Affiliates under the DSB agreement are based on Organisation Type and must have the same Organisation Type as the User entity entering into a contractual agreement with the DSB (signing the Subscription Form).</w:t>
                            </w:r>
                          </w:p>
                          <w:p w14:paraId="04B11FC7" w14:textId="54B0338A" w:rsidR="007625FD" w:rsidRDefault="007625FD" w:rsidP="007625FD">
                            <w:pPr>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4a</w:t>
                            </w:r>
                            <w:r w:rsidRPr="0076032B">
                              <w:rPr>
                                <w:rStyle w:val="normaltextrun"/>
                                <w:rFonts w:cstheme="minorHAnsi"/>
                                <w:b/>
                                <w:bCs/>
                                <w:color w:val="000000"/>
                              </w:rPr>
                              <w:t xml:space="preserve">: </w:t>
                            </w:r>
                            <w:r w:rsidRPr="00D76078">
                              <w:rPr>
                                <w:rStyle w:val="normaltextrun"/>
                                <w:rFonts w:cstheme="minorHAnsi"/>
                                <w:b/>
                                <w:bCs/>
                                <w:i/>
                                <w:iCs/>
                                <w:color w:val="000000"/>
                              </w:rPr>
                              <w:t xml:space="preserve">Do </w:t>
                            </w:r>
                            <w:r>
                              <w:rPr>
                                <w:rStyle w:val="normaltextrun"/>
                                <w:rFonts w:cstheme="minorHAnsi"/>
                                <w:b/>
                                <w:bCs/>
                                <w:i/>
                                <w:iCs/>
                                <w:color w:val="000000"/>
                              </w:rPr>
                              <w:t xml:space="preserve">you </w:t>
                            </w:r>
                            <w:r w:rsidRPr="00D76078">
                              <w:rPr>
                                <w:rStyle w:val="normaltextrun"/>
                                <w:rFonts w:cstheme="minorHAnsi"/>
                                <w:b/>
                                <w:bCs/>
                                <w:i/>
                                <w:iCs/>
                                <w:color w:val="000000"/>
                              </w:rPr>
                              <w:t xml:space="preserve">think it is prudent and reasonable to mandate the use of the LEI for </w:t>
                            </w:r>
                            <w:r>
                              <w:rPr>
                                <w:rStyle w:val="normaltextrun"/>
                                <w:rFonts w:cstheme="minorHAnsi"/>
                                <w:b/>
                                <w:bCs/>
                                <w:i/>
                                <w:iCs/>
                                <w:color w:val="000000"/>
                              </w:rPr>
                              <w:t>users of the UPI Service</w:t>
                            </w:r>
                            <w:r w:rsidRPr="00D76078">
                              <w:rPr>
                                <w:rStyle w:val="normaltextrun"/>
                                <w:rFonts w:cstheme="minorHAnsi"/>
                                <w:b/>
                                <w:bCs/>
                                <w:i/>
                                <w:iCs/>
                                <w:color w:val="000000"/>
                              </w:rPr>
                              <w:t>?</w:t>
                            </w:r>
                          </w:p>
                          <w:p w14:paraId="1A1CC7A6" w14:textId="77777777" w:rsidR="007625FD" w:rsidRPr="00D76078" w:rsidRDefault="007625FD" w:rsidP="007625FD">
                            <w:pPr>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4b</w:t>
                            </w:r>
                            <w:r w:rsidRPr="0076032B">
                              <w:rPr>
                                <w:rStyle w:val="normaltextrun"/>
                                <w:rFonts w:cstheme="minorHAnsi"/>
                                <w:b/>
                                <w:bCs/>
                                <w:color w:val="000000"/>
                              </w:rPr>
                              <w:t xml:space="preserve">: </w:t>
                            </w:r>
                            <w:r>
                              <w:rPr>
                                <w:rStyle w:val="normaltextrun"/>
                                <w:rFonts w:cstheme="minorHAnsi"/>
                                <w:b/>
                                <w:bCs/>
                                <w:i/>
                                <w:iCs/>
                                <w:color w:val="000000"/>
                              </w:rPr>
                              <w:t>If not, please advise of your concerns including a clear statement of your rationale, and any alternative approach.</w:t>
                            </w:r>
                          </w:p>
                          <w:p w14:paraId="5D23E12D" w14:textId="77777777" w:rsidR="007625FD" w:rsidRPr="00D76078" w:rsidRDefault="007625FD" w:rsidP="007625FD">
                            <w:pPr>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4c</w:t>
                            </w:r>
                            <w:r w:rsidRPr="0076032B">
                              <w:rPr>
                                <w:rStyle w:val="normaltextrun"/>
                                <w:rFonts w:cstheme="minorHAnsi"/>
                                <w:b/>
                                <w:bCs/>
                                <w:color w:val="000000"/>
                              </w:rPr>
                              <w:t xml:space="preserve">: </w:t>
                            </w:r>
                            <w:r w:rsidRPr="00D76078">
                              <w:rPr>
                                <w:rStyle w:val="normaltextrun"/>
                                <w:rFonts w:cstheme="minorHAnsi"/>
                                <w:b/>
                                <w:bCs/>
                                <w:i/>
                                <w:iCs/>
                                <w:color w:val="000000"/>
                              </w:rPr>
                              <w:t xml:space="preserve">Do </w:t>
                            </w:r>
                            <w:r>
                              <w:rPr>
                                <w:rStyle w:val="normaltextrun"/>
                                <w:rFonts w:cstheme="minorHAnsi"/>
                                <w:b/>
                                <w:bCs/>
                                <w:i/>
                                <w:iCs/>
                                <w:color w:val="000000"/>
                              </w:rPr>
                              <w:t>you concur</w:t>
                            </w:r>
                            <w:r w:rsidRPr="00D76078">
                              <w:rPr>
                                <w:rStyle w:val="normaltextrun"/>
                                <w:rFonts w:cstheme="minorHAnsi"/>
                                <w:b/>
                                <w:bCs/>
                                <w:i/>
                                <w:iCs/>
                                <w:color w:val="000000"/>
                              </w:rPr>
                              <w:t xml:space="preserve"> that th</w:t>
                            </w:r>
                            <w:r>
                              <w:rPr>
                                <w:rStyle w:val="normaltextrun"/>
                                <w:rFonts w:cstheme="minorHAnsi"/>
                                <w:b/>
                                <w:bCs/>
                                <w:i/>
                                <w:iCs/>
                                <w:color w:val="000000"/>
                              </w:rPr>
                              <w:t>e</w:t>
                            </w:r>
                            <w:r w:rsidRPr="00D76078">
                              <w:rPr>
                                <w:rStyle w:val="normaltextrun"/>
                                <w:rFonts w:cstheme="minorHAnsi"/>
                                <w:b/>
                                <w:bCs/>
                                <w:i/>
                                <w:iCs/>
                                <w:color w:val="000000"/>
                              </w:rPr>
                              <w:t xml:space="preserve"> list of Organisation Types adequately coverages the breadth of real-world </w:t>
                            </w:r>
                            <w:proofErr w:type="spellStart"/>
                            <w:r w:rsidRPr="00D76078">
                              <w:rPr>
                                <w:rStyle w:val="normaltextrun"/>
                                <w:rFonts w:cstheme="minorHAnsi"/>
                                <w:b/>
                                <w:bCs/>
                                <w:i/>
                                <w:iCs/>
                                <w:color w:val="000000"/>
                              </w:rPr>
                              <w:t>organisational</w:t>
                            </w:r>
                            <w:proofErr w:type="spellEnd"/>
                            <w:r w:rsidRPr="00D76078">
                              <w:rPr>
                                <w:rStyle w:val="normaltextrun"/>
                                <w:rFonts w:cstheme="minorHAnsi"/>
                                <w:b/>
                                <w:bCs/>
                                <w:i/>
                                <w:iCs/>
                                <w:color w:val="000000"/>
                              </w:rPr>
                              <w:t xml:space="preserve"> units, or are other </w:t>
                            </w:r>
                            <w:proofErr w:type="spellStart"/>
                            <w:r w:rsidRPr="00D76078">
                              <w:rPr>
                                <w:rStyle w:val="normaltextrun"/>
                                <w:rFonts w:cstheme="minorHAnsi"/>
                                <w:b/>
                                <w:bCs/>
                                <w:i/>
                                <w:iCs/>
                                <w:color w:val="000000"/>
                              </w:rPr>
                              <w:t>Organisational</w:t>
                            </w:r>
                            <w:proofErr w:type="spellEnd"/>
                            <w:r w:rsidRPr="00D76078">
                              <w:rPr>
                                <w:rStyle w:val="normaltextrun"/>
                                <w:rFonts w:cstheme="minorHAnsi"/>
                                <w:b/>
                                <w:bCs/>
                                <w:i/>
                                <w:iCs/>
                                <w:color w:val="000000"/>
                              </w:rPr>
                              <w:t xml:space="preserve"> Types required?</w:t>
                            </w:r>
                          </w:p>
                          <w:p w14:paraId="44826C31" w14:textId="77777777" w:rsidR="007625FD" w:rsidRPr="00E63BBE" w:rsidRDefault="007625FD" w:rsidP="007625FD">
                            <w:pPr>
                              <w:rPr>
                                <w:rStyle w:val="normaltextrun"/>
                                <w:rFonts w:cstheme="minorHAnsi"/>
                                <w:b/>
                                <w:i/>
                                <w:color w:val="000000"/>
                              </w:rPr>
                            </w:pPr>
                            <w:r w:rsidRPr="0076032B">
                              <w:rPr>
                                <w:rStyle w:val="normaltextrun"/>
                                <w:rFonts w:cstheme="minorHAnsi"/>
                                <w:b/>
                                <w:bCs/>
                                <w:color w:val="000000"/>
                              </w:rPr>
                              <w:t>Question</w:t>
                            </w:r>
                            <w:r>
                              <w:rPr>
                                <w:rStyle w:val="normaltextrun"/>
                                <w:rFonts w:cstheme="minorHAnsi"/>
                                <w:b/>
                                <w:bCs/>
                                <w:color w:val="000000"/>
                              </w:rPr>
                              <w:t xml:space="preserve"> 4d</w:t>
                            </w:r>
                            <w:r w:rsidRPr="0076032B">
                              <w:rPr>
                                <w:rStyle w:val="normaltextrun"/>
                                <w:rFonts w:cstheme="minorHAnsi"/>
                                <w:b/>
                                <w:bCs/>
                                <w:color w:val="000000"/>
                              </w:rPr>
                              <w:t xml:space="preserve">: </w:t>
                            </w:r>
                            <w:r w:rsidRPr="00D76078">
                              <w:rPr>
                                <w:rStyle w:val="normaltextrun"/>
                                <w:rFonts w:cstheme="minorHAnsi"/>
                                <w:b/>
                                <w:bCs/>
                                <w:i/>
                                <w:iCs/>
                                <w:color w:val="000000"/>
                              </w:rPr>
                              <w:t xml:space="preserve">Do stakeholders agree with the proposed list of </w:t>
                            </w:r>
                            <w:proofErr w:type="spellStart"/>
                            <w:r w:rsidRPr="00D76078">
                              <w:rPr>
                                <w:rStyle w:val="normaltextrun"/>
                                <w:rFonts w:cstheme="minorHAnsi"/>
                                <w:b/>
                                <w:bCs/>
                                <w:i/>
                                <w:iCs/>
                                <w:color w:val="000000"/>
                              </w:rPr>
                              <w:t>Organisational</w:t>
                            </w:r>
                            <w:proofErr w:type="spellEnd"/>
                            <w:r w:rsidRPr="00D76078">
                              <w:rPr>
                                <w:rStyle w:val="normaltextrun"/>
                                <w:rFonts w:cstheme="minorHAnsi"/>
                                <w:b/>
                                <w:bCs/>
                                <w:i/>
                                <w:iCs/>
                                <w:color w:val="000000"/>
                              </w:rPr>
                              <w:t xml:space="preserve"> Types where Affiliates are eligible to benefit from the terms of the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A33C7BD" id="_x0000_s1030" type="#_x0000_t202" style="position:absolute;margin-left:3.05pt;margin-top:21.45pt;width:450.15pt;height:110.6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" strokecolor="#04aeb9">
                <v:textbox style="mso-fit-shape-to-text:t">
                  <w:txbxContent>
                    <w:p w14:paraId="53C42988"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277A2199" w14:textId="20862117" w:rsidR="007625FD" w:rsidRPr="00394795" w:rsidRDefault="00B0488B" w:rsidP="007625FD">
                      <w:pPr>
                        <w:jc w:val="both"/>
                        <w:rPr>
                          <w:lang w:val="en-GB"/>
                        </w:rPr>
                      </w:pPr>
                      <w:r w:rsidRPr="00394795">
                        <w:rPr>
                          <w:lang w:val="en-GB"/>
                        </w:rPr>
                        <w:t>To</w:t>
                      </w:r>
                      <w:r w:rsidR="007625FD" w:rsidRPr="00394795">
                        <w:rPr>
                          <w:lang w:val="en-GB"/>
                        </w:rPr>
                        <w:t xml:space="preserve"> register for the UPI Service, the</w:t>
                      </w:r>
                      <w:r w:rsidR="007625FD" w:rsidRPr="006F5202">
                        <w:rPr>
                          <w:lang w:val="en-GB"/>
                        </w:rPr>
                        <w:t xml:space="preserve"> DSB will require UPI </w:t>
                      </w:r>
                      <w:r w:rsidR="007625FD" w:rsidRPr="001F656C">
                        <w:rPr>
                          <w:lang w:val="en-GB"/>
                        </w:rPr>
                        <w:t>User</w:t>
                      </w:r>
                      <w:r w:rsidR="007625FD" w:rsidRPr="003E73F2">
                        <w:rPr>
                          <w:lang w:val="en-GB"/>
                        </w:rPr>
                        <w:t>s</w:t>
                      </w:r>
                      <w:r w:rsidR="007625FD" w:rsidRPr="00017ED4">
                        <w:rPr>
                          <w:lang w:val="en-GB"/>
                        </w:rPr>
                        <w:t xml:space="preserve"> to provide a</w:t>
                      </w:r>
                      <w:r w:rsidR="007625FD">
                        <w:rPr>
                          <w:lang w:val="en-GB"/>
                        </w:rPr>
                        <w:t>n active</w:t>
                      </w:r>
                      <w:r w:rsidR="007625FD" w:rsidRPr="00017ED4">
                        <w:rPr>
                          <w:lang w:val="en-GB"/>
                        </w:rPr>
                        <w:t xml:space="preserve"> Legal Entity Identifier (LEI) to </w:t>
                      </w:r>
                      <w:r w:rsidR="007625FD" w:rsidRPr="00A159DE">
                        <w:rPr>
                          <w:lang w:val="en-GB"/>
                        </w:rPr>
                        <w:t xml:space="preserve">enable the DSB to verify the identity of the User entity against the central record held by the Global Legal Entity Identifier Foundation (GLEIF). </w:t>
                      </w:r>
                    </w:p>
                    <w:p w14:paraId="1367A03C" w14:textId="77777777" w:rsidR="007625FD" w:rsidRDefault="007625FD" w:rsidP="007625FD">
                      <w:pPr>
                        <w:jc w:val="both"/>
                        <w:rPr>
                          <w:lang w:val="en-GB"/>
                        </w:rPr>
                      </w:pPr>
                      <w:r w:rsidRPr="006F5202">
                        <w:rPr>
                          <w:lang w:val="en-GB"/>
                        </w:rPr>
                        <w:t>There may be a lead time to obtain an</w:t>
                      </w:r>
                      <w:r w:rsidRPr="001F656C">
                        <w:rPr>
                          <w:lang w:val="en-GB"/>
                        </w:rPr>
                        <w:t xml:space="preserve"> LEI with the respective Local Operating Unit (LOU) (an organization authorized to issue LEIs to legal entities). As</w:t>
                      </w:r>
                      <w:r w:rsidRPr="003E73F2">
                        <w:rPr>
                          <w:lang w:val="en-GB"/>
                        </w:rPr>
                        <w:t xml:space="preserve"> such, entities who do not already have an LEI are encouraged to prepare in advance.</w:t>
                      </w:r>
                      <w:r>
                        <w:rPr>
                          <w:lang w:val="en-GB"/>
                        </w:rPr>
                        <w:t xml:space="preserve"> </w:t>
                      </w:r>
                      <w:r w:rsidRPr="00E40F70">
                        <w:rPr>
                          <w:lang w:val="en-GB"/>
                        </w:rPr>
                        <w:t>Clients who are not able to obtain an LEI will be handled on a case-by-case basis</w:t>
                      </w:r>
                      <w:r>
                        <w:rPr>
                          <w:lang w:val="en-GB"/>
                        </w:rPr>
                        <w:t>.</w:t>
                      </w:r>
                    </w:p>
                    <w:p w14:paraId="097AD360" w14:textId="77777777" w:rsidR="007625FD" w:rsidRPr="00A159DE" w:rsidRDefault="007625FD" w:rsidP="007625FD">
                      <w:pPr>
                        <w:jc w:val="both"/>
                        <w:rPr>
                          <w:lang w:val="en-GB"/>
                        </w:rPr>
                      </w:pPr>
                      <w:r>
                        <w:rPr>
                          <w:lang w:val="en-GB"/>
                        </w:rPr>
                        <w:t xml:space="preserve">New fee-paying OTC ISIN Users will not be required to provide an LEI until such time that the COSP is extended to cater for OTC ISIN Users. Existing fee-paying OTC ISIN Users will not need to provide an LEI until they either sign-up to the UPI Service or are transitioned to the new document structure (per the proposal in section </w:t>
                      </w:r>
                      <w:r>
                        <w:rPr>
                          <w:lang w:val="en-GB"/>
                        </w:rPr>
                        <w:fldChar w:fldCharType="begin"/>
                      </w:r>
                      <w:r>
                        <w:rPr>
                          <w:lang w:val="en-GB"/>
                        </w:rPr>
                        <w:instrText xml:space="preserve"> REF _Ref83907780 \r \h  \* MERGEFORMAT </w:instrText>
                      </w:r>
                      <w:r>
                        <w:rPr>
                          <w:lang w:val="en-GB"/>
                        </w:rPr>
                      </w:r>
                      <w:r>
                        <w:rPr>
                          <w:lang w:val="en-GB"/>
                        </w:rPr>
                        <w:fldChar w:fldCharType="separate"/>
                      </w:r>
                      <w:r>
                        <w:rPr>
                          <w:lang w:val="en-GB"/>
                        </w:rPr>
                        <w:t>5.2</w:t>
                      </w:r>
                      <w:r>
                        <w:rPr>
                          <w:lang w:val="en-GB"/>
                        </w:rPr>
                        <w:fldChar w:fldCharType="end"/>
                      </w:r>
                      <w:r>
                        <w:rPr>
                          <w:lang w:val="en-GB"/>
                        </w:rPr>
                        <w:t>).</w:t>
                      </w:r>
                    </w:p>
                    <w:p w14:paraId="480BB87B" w14:textId="77777777" w:rsidR="007625FD" w:rsidRPr="0076032B" w:rsidRDefault="007625FD" w:rsidP="007625FD">
                      <w:pPr>
                        <w:pStyle w:val="paragraph"/>
                        <w:spacing w:before="240" w:beforeAutospacing="0" w:after="120" w:afterAutospacing="0" w:line="276" w:lineRule="auto"/>
                        <w:jc w:val="both"/>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In keeping with current practice, e</w:t>
                      </w:r>
                      <w:r w:rsidRPr="00A159DE">
                        <w:rPr>
                          <w:rStyle w:val="normaltextrun"/>
                          <w:rFonts w:asciiTheme="minorHAnsi" w:hAnsiTheme="minorHAnsi" w:cstheme="minorHAnsi"/>
                          <w:color w:val="000000"/>
                          <w:sz w:val="22"/>
                          <w:szCs w:val="22"/>
                        </w:rPr>
                        <w:t>ligible Affiliates under the DSB agreement are based on Organisation Type and must have the same Organisation Type as the User entity entering into a contractual agreement with the DSB (signing the Subscription Form).</w:t>
                      </w:r>
                    </w:p>
                    <w:p w14:paraId="04B11FC7" w14:textId="54B0338A" w:rsidR="007625FD" w:rsidRDefault="007625FD" w:rsidP="007625FD">
                      <w:pPr>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4a</w:t>
                      </w:r>
                      <w:r w:rsidRPr="0076032B">
                        <w:rPr>
                          <w:rStyle w:val="normaltextrun"/>
                          <w:rFonts w:cstheme="minorHAnsi"/>
                          <w:b/>
                          <w:bCs/>
                          <w:color w:val="000000"/>
                        </w:rPr>
                        <w:t xml:space="preserve">: </w:t>
                      </w:r>
                      <w:r w:rsidRPr="00D76078">
                        <w:rPr>
                          <w:rStyle w:val="normaltextrun"/>
                          <w:rFonts w:cstheme="minorHAnsi"/>
                          <w:b/>
                          <w:bCs/>
                          <w:i/>
                          <w:iCs/>
                          <w:color w:val="000000"/>
                        </w:rPr>
                        <w:t xml:space="preserve">Do </w:t>
                      </w:r>
                      <w:r>
                        <w:rPr>
                          <w:rStyle w:val="normaltextrun"/>
                          <w:rFonts w:cstheme="minorHAnsi"/>
                          <w:b/>
                          <w:bCs/>
                          <w:i/>
                          <w:iCs/>
                          <w:color w:val="000000"/>
                        </w:rPr>
                        <w:t xml:space="preserve">you </w:t>
                      </w:r>
                      <w:r w:rsidRPr="00D76078">
                        <w:rPr>
                          <w:rStyle w:val="normaltextrun"/>
                          <w:rFonts w:cstheme="minorHAnsi"/>
                          <w:b/>
                          <w:bCs/>
                          <w:i/>
                          <w:iCs/>
                          <w:color w:val="000000"/>
                        </w:rPr>
                        <w:t xml:space="preserve">think it is prudent and reasonable to mandate the use of the LEI for </w:t>
                      </w:r>
                      <w:r>
                        <w:rPr>
                          <w:rStyle w:val="normaltextrun"/>
                          <w:rFonts w:cstheme="minorHAnsi"/>
                          <w:b/>
                          <w:bCs/>
                          <w:i/>
                          <w:iCs/>
                          <w:color w:val="000000"/>
                        </w:rPr>
                        <w:t>users of the UPI Service</w:t>
                      </w:r>
                      <w:r w:rsidRPr="00D76078">
                        <w:rPr>
                          <w:rStyle w:val="normaltextrun"/>
                          <w:rFonts w:cstheme="minorHAnsi"/>
                          <w:b/>
                          <w:bCs/>
                          <w:i/>
                          <w:iCs/>
                          <w:color w:val="000000"/>
                        </w:rPr>
                        <w:t>?</w:t>
                      </w:r>
                    </w:p>
                    <w:p w14:paraId="1A1CC7A6" w14:textId="77777777" w:rsidR="007625FD" w:rsidRPr="00D76078" w:rsidRDefault="007625FD" w:rsidP="007625FD">
                      <w:pPr>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4b</w:t>
                      </w:r>
                      <w:r w:rsidRPr="0076032B">
                        <w:rPr>
                          <w:rStyle w:val="normaltextrun"/>
                          <w:rFonts w:cstheme="minorHAnsi"/>
                          <w:b/>
                          <w:bCs/>
                          <w:color w:val="000000"/>
                        </w:rPr>
                        <w:t xml:space="preserve">: </w:t>
                      </w:r>
                      <w:r>
                        <w:rPr>
                          <w:rStyle w:val="normaltextrun"/>
                          <w:rFonts w:cstheme="minorHAnsi"/>
                          <w:b/>
                          <w:bCs/>
                          <w:i/>
                          <w:iCs/>
                          <w:color w:val="000000"/>
                        </w:rPr>
                        <w:t>If not, please advise of your concerns including a clear statement of your rationale, and any alternative approach.</w:t>
                      </w:r>
                    </w:p>
                    <w:p w14:paraId="5D23E12D" w14:textId="77777777" w:rsidR="007625FD" w:rsidRPr="00D76078" w:rsidRDefault="007625FD" w:rsidP="007625FD">
                      <w:pPr>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4c</w:t>
                      </w:r>
                      <w:r w:rsidRPr="0076032B">
                        <w:rPr>
                          <w:rStyle w:val="normaltextrun"/>
                          <w:rFonts w:cstheme="minorHAnsi"/>
                          <w:b/>
                          <w:bCs/>
                          <w:color w:val="000000"/>
                        </w:rPr>
                        <w:t xml:space="preserve">: </w:t>
                      </w:r>
                      <w:r w:rsidRPr="00D76078">
                        <w:rPr>
                          <w:rStyle w:val="normaltextrun"/>
                          <w:rFonts w:cstheme="minorHAnsi"/>
                          <w:b/>
                          <w:bCs/>
                          <w:i/>
                          <w:iCs/>
                          <w:color w:val="000000"/>
                        </w:rPr>
                        <w:t xml:space="preserve">Do </w:t>
                      </w:r>
                      <w:r>
                        <w:rPr>
                          <w:rStyle w:val="normaltextrun"/>
                          <w:rFonts w:cstheme="minorHAnsi"/>
                          <w:b/>
                          <w:bCs/>
                          <w:i/>
                          <w:iCs/>
                          <w:color w:val="000000"/>
                        </w:rPr>
                        <w:t>you concur</w:t>
                      </w:r>
                      <w:r w:rsidRPr="00D76078">
                        <w:rPr>
                          <w:rStyle w:val="normaltextrun"/>
                          <w:rFonts w:cstheme="minorHAnsi"/>
                          <w:b/>
                          <w:bCs/>
                          <w:i/>
                          <w:iCs/>
                          <w:color w:val="000000"/>
                        </w:rPr>
                        <w:t xml:space="preserve"> that th</w:t>
                      </w:r>
                      <w:r>
                        <w:rPr>
                          <w:rStyle w:val="normaltextrun"/>
                          <w:rFonts w:cstheme="minorHAnsi"/>
                          <w:b/>
                          <w:bCs/>
                          <w:i/>
                          <w:iCs/>
                          <w:color w:val="000000"/>
                        </w:rPr>
                        <w:t>e</w:t>
                      </w:r>
                      <w:r w:rsidRPr="00D76078">
                        <w:rPr>
                          <w:rStyle w:val="normaltextrun"/>
                          <w:rFonts w:cstheme="minorHAnsi"/>
                          <w:b/>
                          <w:bCs/>
                          <w:i/>
                          <w:iCs/>
                          <w:color w:val="000000"/>
                        </w:rPr>
                        <w:t xml:space="preserve"> list of Organisation Types adequately coverages the breadth of real-world </w:t>
                      </w:r>
                      <w:proofErr w:type="spellStart"/>
                      <w:r w:rsidRPr="00D76078">
                        <w:rPr>
                          <w:rStyle w:val="normaltextrun"/>
                          <w:rFonts w:cstheme="minorHAnsi"/>
                          <w:b/>
                          <w:bCs/>
                          <w:i/>
                          <w:iCs/>
                          <w:color w:val="000000"/>
                        </w:rPr>
                        <w:t>organisational</w:t>
                      </w:r>
                      <w:proofErr w:type="spellEnd"/>
                      <w:r w:rsidRPr="00D76078">
                        <w:rPr>
                          <w:rStyle w:val="normaltextrun"/>
                          <w:rFonts w:cstheme="minorHAnsi"/>
                          <w:b/>
                          <w:bCs/>
                          <w:i/>
                          <w:iCs/>
                          <w:color w:val="000000"/>
                        </w:rPr>
                        <w:t xml:space="preserve"> units, or are other </w:t>
                      </w:r>
                      <w:proofErr w:type="spellStart"/>
                      <w:r w:rsidRPr="00D76078">
                        <w:rPr>
                          <w:rStyle w:val="normaltextrun"/>
                          <w:rFonts w:cstheme="minorHAnsi"/>
                          <w:b/>
                          <w:bCs/>
                          <w:i/>
                          <w:iCs/>
                          <w:color w:val="000000"/>
                        </w:rPr>
                        <w:t>Organisational</w:t>
                      </w:r>
                      <w:proofErr w:type="spellEnd"/>
                      <w:r w:rsidRPr="00D76078">
                        <w:rPr>
                          <w:rStyle w:val="normaltextrun"/>
                          <w:rFonts w:cstheme="minorHAnsi"/>
                          <w:b/>
                          <w:bCs/>
                          <w:i/>
                          <w:iCs/>
                          <w:color w:val="000000"/>
                        </w:rPr>
                        <w:t xml:space="preserve"> Types required?</w:t>
                      </w:r>
                    </w:p>
                    <w:p w14:paraId="44826C31" w14:textId="77777777" w:rsidR="007625FD" w:rsidRPr="00E63BBE" w:rsidRDefault="007625FD" w:rsidP="007625FD">
                      <w:pPr>
                        <w:rPr>
                          <w:rStyle w:val="normaltextrun"/>
                          <w:rFonts w:cstheme="minorHAnsi"/>
                          <w:b/>
                          <w:i/>
                          <w:color w:val="000000"/>
                        </w:rPr>
                      </w:pPr>
                      <w:r w:rsidRPr="0076032B">
                        <w:rPr>
                          <w:rStyle w:val="normaltextrun"/>
                          <w:rFonts w:cstheme="minorHAnsi"/>
                          <w:b/>
                          <w:bCs/>
                          <w:color w:val="000000"/>
                        </w:rPr>
                        <w:t>Question</w:t>
                      </w:r>
                      <w:r>
                        <w:rPr>
                          <w:rStyle w:val="normaltextrun"/>
                          <w:rFonts w:cstheme="minorHAnsi"/>
                          <w:b/>
                          <w:bCs/>
                          <w:color w:val="000000"/>
                        </w:rPr>
                        <w:t xml:space="preserve"> 4d</w:t>
                      </w:r>
                      <w:r w:rsidRPr="0076032B">
                        <w:rPr>
                          <w:rStyle w:val="normaltextrun"/>
                          <w:rFonts w:cstheme="minorHAnsi"/>
                          <w:b/>
                          <w:bCs/>
                          <w:color w:val="000000"/>
                        </w:rPr>
                        <w:t xml:space="preserve">: </w:t>
                      </w:r>
                      <w:r w:rsidRPr="00D76078">
                        <w:rPr>
                          <w:rStyle w:val="normaltextrun"/>
                          <w:rFonts w:cstheme="minorHAnsi"/>
                          <w:b/>
                          <w:bCs/>
                          <w:i/>
                          <w:iCs/>
                          <w:color w:val="000000"/>
                        </w:rPr>
                        <w:t xml:space="preserve">Do stakeholders agree with the proposed list of </w:t>
                      </w:r>
                      <w:proofErr w:type="spellStart"/>
                      <w:r w:rsidRPr="00D76078">
                        <w:rPr>
                          <w:rStyle w:val="normaltextrun"/>
                          <w:rFonts w:cstheme="minorHAnsi"/>
                          <w:b/>
                          <w:bCs/>
                          <w:i/>
                          <w:iCs/>
                          <w:color w:val="000000"/>
                        </w:rPr>
                        <w:t>Organisational</w:t>
                      </w:r>
                      <w:proofErr w:type="spellEnd"/>
                      <w:r w:rsidRPr="00D76078">
                        <w:rPr>
                          <w:rStyle w:val="normaltextrun"/>
                          <w:rFonts w:cstheme="minorHAnsi"/>
                          <w:b/>
                          <w:bCs/>
                          <w:i/>
                          <w:iCs/>
                          <w:color w:val="000000"/>
                        </w:rPr>
                        <w:t xml:space="preserve"> Types where Affiliates are eligible to benefit from the terms of the Agreement?</w:t>
                      </w:r>
                    </w:p>
                  </w:txbxContent>
                </v:textbox>
                <w10:wrap type="square" anchorx="margin"/>
              </v:shape>
            </w:pict>
          </mc:Fallback>
        </mc:AlternateContent>
      </w:r>
    </w:p>
    <w:p w14:paraId="3C13A359" w14:textId="77777777" w:rsidR="007625FD" w:rsidRPr="001C2710" w:rsidRDefault="007625FD" w:rsidP="007625FD">
      <w:pPr>
        <w:rPr>
          <w:lang w:val="en-GB"/>
        </w:rPr>
      </w:pPr>
    </w:p>
    <w:p w14:paraId="586E5988" w14:textId="77777777" w:rsidR="007625FD" w:rsidRPr="00623841" w:rsidRDefault="007625FD" w:rsidP="007625FD">
      <w:pPr>
        <w:jc w:val="both"/>
        <w:rPr>
          <w:b/>
          <w:bCs/>
          <w:u w:val="single"/>
        </w:rPr>
      </w:pPr>
      <w:r w:rsidRPr="00623841">
        <w:rPr>
          <w:b/>
          <w:bCs/>
          <w:u w:val="single"/>
        </w:rPr>
        <w:t>Supporting Information:</w:t>
      </w:r>
    </w:p>
    <w:p w14:paraId="1C6DAC32" w14:textId="77777777" w:rsidR="007625FD" w:rsidRPr="00E40F70" w:rsidRDefault="007625FD" w:rsidP="007625FD">
      <w:pPr>
        <w:jc w:val="both"/>
        <w:rPr>
          <w:lang w:val="en-GB"/>
        </w:rPr>
      </w:pPr>
      <w:r w:rsidRPr="00E40F70">
        <w:rPr>
          <w:lang w:val="en-GB"/>
        </w:rPr>
        <w:t xml:space="preserve">The DSB identifies a unique client relationship as a combination of Legal Entity name </w:t>
      </w:r>
      <w:r>
        <w:rPr>
          <w:lang w:val="en-GB"/>
        </w:rPr>
        <w:t xml:space="preserve">and </w:t>
      </w:r>
      <w:r w:rsidRPr="00E40F70">
        <w:rPr>
          <w:lang w:val="en-GB"/>
        </w:rPr>
        <w:t xml:space="preserve">Organisation Type. </w:t>
      </w:r>
      <w:r>
        <w:rPr>
          <w:lang w:val="en-GB"/>
        </w:rPr>
        <w:t xml:space="preserve">The Legal Entity name constitutes the contracting entity and as such, the identity of the Legal Entity must be verifiable as part of a streamlined, online process whereby the DSB enters into a contractual agreement. </w:t>
      </w:r>
    </w:p>
    <w:p w14:paraId="3898B446" w14:textId="77777777" w:rsidR="00D273E4" w:rsidRDefault="00D273E4">
      <w:pPr>
        <w:rPr>
          <w:b/>
          <w:bCs/>
          <w:u w:val="single"/>
          <w:lang w:val="en-GB"/>
        </w:rPr>
      </w:pPr>
      <w:r>
        <w:rPr>
          <w:b/>
          <w:bCs/>
          <w:u w:val="single"/>
          <w:lang w:val="en-GB"/>
        </w:rPr>
        <w:br w:type="page"/>
      </w:r>
    </w:p>
    <w:p w14:paraId="3673C252" w14:textId="3A3FB1E7" w:rsidR="007625FD" w:rsidRPr="002D7CE1" w:rsidRDefault="007625FD" w:rsidP="007625FD">
      <w:pPr>
        <w:jc w:val="both"/>
        <w:rPr>
          <w:b/>
          <w:bCs/>
          <w:u w:val="single"/>
          <w:lang w:val="en-GB"/>
        </w:rPr>
      </w:pPr>
      <w:r w:rsidRPr="002D7CE1">
        <w:rPr>
          <w:b/>
          <w:bCs/>
          <w:u w:val="single"/>
          <w:lang w:val="en-GB"/>
        </w:rPr>
        <w:lastRenderedPageBreak/>
        <w:t>DSB Proposal</w:t>
      </w:r>
      <w:r>
        <w:rPr>
          <w:b/>
          <w:bCs/>
          <w:u w:val="single"/>
          <w:lang w:val="en-GB"/>
        </w:rPr>
        <w:t>:</w:t>
      </w:r>
    </w:p>
    <w:p w14:paraId="11F29A8F" w14:textId="281ABB4E" w:rsidR="007625FD" w:rsidRPr="00E40F70" w:rsidRDefault="007625FD" w:rsidP="007625FD">
      <w:pPr>
        <w:jc w:val="both"/>
        <w:rPr>
          <w:lang w:val="en-GB"/>
        </w:rPr>
      </w:pPr>
      <w:r>
        <w:rPr>
          <w:lang w:val="en-GB"/>
        </w:rPr>
        <w:t xml:space="preserve">Upon initiation of the UPI </w:t>
      </w:r>
      <w:r w:rsidRPr="00E40F70">
        <w:rPr>
          <w:lang w:val="en-GB"/>
        </w:rPr>
        <w:t>onboarding process</w:t>
      </w:r>
      <w:r>
        <w:rPr>
          <w:lang w:val="en-GB"/>
        </w:rPr>
        <w:t xml:space="preserve"> in the COSP for fee-paying Users</w:t>
      </w:r>
      <w:r w:rsidRPr="00E40F70">
        <w:rPr>
          <w:lang w:val="en-GB"/>
        </w:rPr>
        <w:t xml:space="preserve">, the DSB will require UPI </w:t>
      </w:r>
      <w:r>
        <w:rPr>
          <w:lang w:val="en-GB"/>
        </w:rPr>
        <w:t>Users</w:t>
      </w:r>
      <w:r w:rsidRPr="00E40F70">
        <w:rPr>
          <w:lang w:val="en-GB"/>
        </w:rPr>
        <w:t xml:space="preserve"> to provide a</w:t>
      </w:r>
      <w:r>
        <w:rPr>
          <w:lang w:val="en-GB"/>
        </w:rPr>
        <w:t>n active</w:t>
      </w:r>
      <w:r w:rsidR="00E84D65">
        <w:rPr>
          <w:lang w:val="en-GB"/>
        </w:rPr>
        <w:t xml:space="preserve"> and up-to-date</w:t>
      </w:r>
      <w:r w:rsidRPr="00E40F70">
        <w:rPr>
          <w:lang w:val="en-GB"/>
        </w:rPr>
        <w:t xml:space="preserve"> Legal Entity Identifier (LEI) to </w:t>
      </w:r>
      <w:r>
        <w:rPr>
          <w:lang w:val="en-GB"/>
        </w:rPr>
        <w:t>enable</w:t>
      </w:r>
      <w:r w:rsidRPr="00E40F70">
        <w:rPr>
          <w:lang w:val="en-GB"/>
        </w:rPr>
        <w:t xml:space="preserve"> the DSB to validate the identity of the </w:t>
      </w:r>
      <w:r>
        <w:rPr>
          <w:lang w:val="en-GB"/>
        </w:rPr>
        <w:t>User</w:t>
      </w:r>
      <w:r w:rsidRPr="00E40F70">
        <w:rPr>
          <w:lang w:val="en-GB"/>
        </w:rPr>
        <w:t xml:space="preserve"> entity</w:t>
      </w:r>
      <w:r>
        <w:rPr>
          <w:lang w:val="en-GB"/>
        </w:rPr>
        <w:t xml:space="preserve"> against the central record held by the </w:t>
      </w:r>
      <w:r w:rsidRPr="00AD7627">
        <w:rPr>
          <w:lang w:val="en-GB"/>
        </w:rPr>
        <w:t>Global Legal Entity Identifier Foundation (GLEIF)</w:t>
      </w:r>
      <w:r w:rsidRPr="00E40F70">
        <w:rPr>
          <w:lang w:val="en-GB"/>
        </w:rPr>
        <w:t>.</w:t>
      </w:r>
      <w:r>
        <w:rPr>
          <w:lang w:val="en-GB"/>
        </w:rPr>
        <w:t xml:space="preserve"> This enables the DSB to leverage the business registry validation that is performed when an LEI is issued, thereby streamlining the DSB’s identity verification process.</w:t>
      </w:r>
    </w:p>
    <w:p w14:paraId="23202077" w14:textId="77777777" w:rsidR="007625FD" w:rsidRDefault="007625FD" w:rsidP="007625FD">
      <w:pPr>
        <w:jc w:val="both"/>
        <w:rPr>
          <w:lang w:val="en-GB"/>
        </w:rPr>
      </w:pPr>
      <w:r w:rsidRPr="00E40F70">
        <w:rPr>
          <w:lang w:val="en-GB"/>
        </w:rPr>
        <w:t xml:space="preserve">There may be a lead time </w:t>
      </w:r>
      <w:r>
        <w:rPr>
          <w:lang w:val="en-GB"/>
        </w:rPr>
        <w:t xml:space="preserve">to obtain an LEI </w:t>
      </w:r>
      <w:r w:rsidRPr="00E40F70">
        <w:rPr>
          <w:lang w:val="en-GB"/>
        </w:rPr>
        <w:t>with the respective Local Operating Unit (LOU) (an organization authorized to issue LEIs to legal entities). As such, entities who do not already have an LEI are encouraged to prepare in advance.</w:t>
      </w:r>
      <w:r>
        <w:rPr>
          <w:lang w:val="en-GB"/>
        </w:rPr>
        <w:t xml:space="preserve"> Details of how to obtain and LEI can be found on the GLEIF website</w:t>
      </w:r>
      <w:r>
        <w:rPr>
          <w:rStyle w:val="FootnoteReference"/>
          <w:lang w:val="en-GB"/>
        </w:rPr>
        <w:footnoteReference w:id="51"/>
      </w:r>
      <w:r>
        <w:rPr>
          <w:lang w:val="en-GB"/>
        </w:rPr>
        <w:t>.</w:t>
      </w:r>
    </w:p>
    <w:p w14:paraId="228A37C5" w14:textId="77777777" w:rsidR="007625FD" w:rsidRDefault="007625FD" w:rsidP="007625FD">
      <w:pPr>
        <w:jc w:val="both"/>
        <w:rPr>
          <w:lang w:val="en-GB"/>
        </w:rPr>
      </w:pPr>
      <w:r w:rsidRPr="00E40F70">
        <w:rPr>
          <w:lang w:val="en-GB"/>
        </w:rPr>
        <w:t>Clients who are not able to obtain an LEI will be handled on a case-by-case basis</w:t>
      </w:r>
      <w:r>
        <w:rPr>
          <w:lang w:val="en-GB"/>
        </w:rPr>
        <w:t xml:space="preserve"> although the general expectation is that there will be no obstacle in obtaining an LEI for firms with trade repository reporting obligations</w:t>
      </w:r>
      <w:r w:rsidRPr="00E40F70">
        <w:rPr>
          <w:lang w:val="en-GB"/>
        </w:rPr>
        <w:t>.</w:t>
      </w:r>
    </w:p>
    <w:p w14:paraId="2B8A3F6F" w14:textId="77777777" w:rsidR="007625FD" w:rsidRPr="00E40F70" w:rsidRDefault="007625FD" w:rsidP="007625FD">
      <w:pPr>
        <w:jc w:val="both"/>
        <w:rPr>
          <w:lang w:val="en-GB"/>
        </w:rPr>
      </w:pPr>
      <w:r>
        <w:rPr>
          <w:lang w:val="en-GB"/>
        </w:rPr>
        <w:t xml:space="preserve">New fee-paying OTC ISIN Users will not be required to provide an LEI until such time that the COSP is extended to cater for OTC ISIN Users, although it can be provided where available, to assist with transition readiness. Existing fee-paying OTC ISIN Users will not need to provide an LEI until they either sign-up to the UPI Service or are transitioned to the new document structure (per the proposal in section </w:t>
      </w:r>
      <w:r>
        <w:rPr>
          <w:lang w:val="en-GB"/>
        </w:rPr>
        <w:fldChar w:fldCharType="begin"/>
      </w:r>
      <w:r>
        <w:rPr>
          <w:lang w:val="en-GB"/>
        </w:rPr>
        <w:instrText xml:space="preserve"> REF _Ref83907780 \r \h  \* MERGEFORMAT </w:instrText>
      </w:r>
      <w:r>
        <w:rPr>
          <w:lang w:val="en-GB"/>
        </w:rPr>
      </w:r>
      <w:r>
        <w:rPr>
          <w:lang w:val="en-GB"/>
        </w:rPr>
        <w:fldChar w:fldCharType="separate"/>
      </w:r>
      <w:r>
        <w:rPr>
          <w:lang w:val="en-GB"/>
        </w:rPr>
        <w:t>5.2</w:t>
      </w:r>
      <w:r>
        <w:rPr>
          <w:lang w:val="en-GB"/>
        </w:rPr>
        <w:fldChar w:fldCharType="end"/>
      </w:r>
      <w:r>
        <w:rPr>
          <w:lang w:val="en-GB"/>
        </w:rPr>
        <w:t>).</w:t>
      </w:r>
    </w:p>
    <w:p w14:paraId="71B04802" w14:textId="77777777" w:rsidR="007625FD" w:rsidRPr="00E40F70" w:rsidRDefault="007625FD" w:rsidP="007625FD">
      <w:pPr>
        <w:jc w:val="both"/>
        <w:rPr>
          <w:lang w:val="en-GB"/>
        </w:rPr>
      </w:pPr>
      <w:r w:rsidRPr="00E40F70">
        <w:rPr>
          <w:lang w:val="en-GB"/>
        </w:rPr>
        <w:t>Eligible Affiliates under the DSB agreement are based on Organisation Type</w:t>
      </w:r>
      <w:r>
        <w:rPr>
          <w:lang w:val="en-GB"/>
        </w:rPr>
        <w:t xml:space="preserve"> and</w:t>
      </w:r>
      <w:r w:rsidRPr="00E40F70">
        <w:rPr>
          <w:lang w:val="en-GB"/>
        </w:rPr>
        <w:t xml:space="preserve"> must have the same Organisation Type as the </w:t>
      </w:r>
      <w:r>
        <w:rPr>
          <w:lang w:val="en-GB"/>
        </w:rPr>
        <w:t>User</w:t>
      </w:r>
      <w:r w:rsidRPr="00E40F70">
        <w:rPr>
          <w:lang w:val="en-GB"/>
        </w:rPr>
        <w:t xml:space="preserve"> entity entering into a contractual agreement with the DSB (signing the </w:t>
      </w:r>
      <w:r>
        <w:rPr>
          <w:lang w:val="en-GB"/>
        </w:rPr>
        <w:t>Subscription Form</w:t>
      </w:r>
      <w:r w:rsidRPr="00E40F70">
        <w:rPr>
          <w:lang w:val="en-GB"/>
        </w:rPr>
        <w:t xml:space="preserve">). A process will be available to assist clients who wish to specify </w:t>
      </w:r>
      <w:proofErr w:type="gramStart"/>
      <w:r w:rsidRPr="00E40F70">
        <w:rPr>
          <w:lang w:val="en-GB"/>
        </w:rPr>
        <w:t>a large number of</w:t>
      </w:r>
      <w:proofErr w:type="gramEnd"/>
      <w:r w:rsidRPr="00E40F70">
        <w:rPr>
          <w:lang w:val="en-GB"/>
        </w:rPr>
        <w:t xml:space="preserve"> Affiliates.</w:t>
      </w:r>
    </w:p>
    <w:p w14:paraId="12C767E5" w14:textId="77777777" w:rsidR="007625FD" w:rsidRDefault="007625FD" w:rsidP="007625FD">
      <w:pPr>
        <w:jc w:val="both"/>
        <w:rPr>
          <w:lang w:val="en-GB"/>
        </w:rPr>
      </w:pPr>
      <w:r>
        <w:rPr>
          <w:lang w:val="en-GB"/>
        </w:rPr>
        <w:t>The below table outlines the proposed set of Organisation Types and the eligibility to extend their agreement to Affiliates. The objective is to achieve as much fairness as possible in terms of organisations of different sizes subject to fees for the DSB Service.</w:t>
      </w:r>
    </w:p>
    <w:p w14:paraId="06E976B7" w14:textId="7ACB4E40" w:rsidR="007625FD" w:rsidRDefault="007625FD" w:rsidP="007625FD">
      <w:pPr>
        <w:jc w:val="both"/>
        <w:rPr>
          <w:lang w:val="en-GB"/>
        </w:rPr>
      </w:pPr>
      <w:r>
        <w:rPr>
          <w:lang w:val="en-GB"/>
        </w:rPr>
        <w:t>It differs slightly from the list in section 3 ‘</w:t>
      </w:r>
      <w:r>
        <w:t xml:space="preserve">Affiliates And Single </w:t>
      </w:r>
      <w:r w:rsidDel="00D3207B">
        <w:t>User</w:t>
      </w:r>
      <w:r>
        <w:t xml:space="preserve"> Entities’ </w:t>
      </w:r>
      <w:r>
        <w:rPr>
          <w:lang w:val="en-GB"/>
        </w:rPr>
        <w:t xml:space="preserve">of the </w:t>
      </w:r>
      <w:hyperlink r:id="rId37" w:history="1">
        <w:r w:rsidRPr="00C7526B">
          <w:rPr>
            <w:rStyle w:val="Hyperlink"/>
            <w:lang w:val="en-GB"/>
          </w:rPr>
          <w:t xml:space="preserve">DSB </w:t>
        </w:r>
        <w:r w:rsidRPr="00C7526B" w:rsidDel="00D3207B">
          <w:rPr>
            <w:rStyle w:val="Hyperlink"/>
            <w:lang w:val="en-GB"/>
          </w:rPr>
          <w:t>User</w:t>
        </w:r>
        <w:r w:rsidRPr="00C7526B">
          <w:rPr>
            <w:rStyle w:val="Hyperlink"/>
            <w:lang w:val="en-GB"/>
          </w:rPr>
          <w:t xml:space="preserve"> Policy</w:t>
        </w:r>
      </w:hyperlink>
      <w:r>
        <w:rPr>
          <w:lang w:val="en-GB"/>
        </w:rPr>
        <w:t xml:space="preserve"> to reflect the expected, broader client base for the UPI Service, and will be leveraged for the OTC </w:t>
      </w:r>
      <w:r w:rsidR="00F07F21">
        <w:rPr>
          <w:lang w:val="en-GB"/>
        </w:rPr>
        <w:t>ISIN Service</w:t>
      </w:r>
      <w:r>
        <w:rPr>
          <w:lang w:val="en-GB"/>
        </w:rPr>
        <w:t xml:space="preserve">. </w:t>
      </w:r>
    </w:p>
    <w:tbl>
      <w:tblPr>
        <w:tblW w:w="7900" w:type="dxa"/>
        <w:tblLook w:val="04A0" w:firstRow="1" w:lastRow="0" w:firstColumn="1" w:lastColumn="0" w:noHBand="0" w:noVBand="1"/>
      </w:tblPr>
      <w:tblGrid>
        <w:gridCol w:w="3920"/>
        <w:gridCol w:w="3980"/>
      </w:tblGrid>
      <w:tr w:rsidR="007625FD" w:rsidRPr="003F6ED1" w14:paraId="1BF07501" w14:textId="77777777" w:rsidTr="00EB317C">
        <w:trPr>
          <w:trHeight w:val="397"/>
          <w:tblHeader/>
        </w:trPr>
        <w:tc>
          <w:tcPr>
            <w:tcW w:w="3920" w:type="dxa"/>
            <w:tcBorders>
              <w:top w:val="nil"/>
              <w:left w:val="nil"/>
              <w:bottom w:val="single" w:sz="4" w:space="0" w:color="auto"/>
              <w:right w:val="nil"/>
            </w:tcBorders>
            <w:shd w:val="clear" w:color="auto" w:fill="30AFB8"/>
            <w:noWrap/>
            <w:vAlign w:val="center"/>
            <w:hideMark/>
          </w:tcPr>
          <w:p w14:paraId="457BF8A3" w14:textId="77777777" w:rsidR="007625FD" w:rsidRPr="00D367BD" w:rsidRDefault="007625FD" w:rsidP="00EB317C">
            <w:pPr>
              <w:spacing w:after="0"/>
              <w:rPr>
                <w:rFonts w:ascii="Calibri" w:eastAsia="Times New Roman" w:hAnsi="Calibri" w:cs="Calibri"/>
                <w:color w:val="FFFFFF" w:themeColor="background1"/>
                <w:lang w:val="en-GB" w:eastAsia="en-GB"/>
              </w:rPr>
            </w:pPr>
            <w:r w:rsidRPr="00D367BD">
              <w:rPr>
                <w:rFonts w:ascii="Calibri" w:eastAsia="Times New Roman" w:hAnsi="Calibri" w:cs="Calibri"/>
                <w:color w:val="FFFFFF" w:themeColor="background1"/>
                <w:lang w:val="en-GB" w:eastAsia="en-GB"/>
              </w:rPr>
              <w:t>Organisation Type</w:t>
            </w:r>
          </w:p>
        </w:tc>
        <w:tc>
          <w:tcPr>
            <w:tcW w:w="3980" w:type="dxa"/>
            <w:tcBorders>
              <w:top w:val="nil"/>
              <w:left w:val="nil"/>
              <w:bottom w:val="single" w:sz="4" w:space="0" w:color="auto"/>
              <w:right w:val="nil"/>
            </w:tcBorders>
            <w:shd w:val="clear" w:color="auto" w:fill="30AFB8"/>
            <w:noWrap/>
            <w:vAlign w:val="center"/>
            <w:hideMark/>
          </w:tcPr>
          <w:p w14:paraId="3FFE5ADC" w14:textId="77777777" w:rsidR="007625FD" w:rsidRPr="00D367BD" w:rsidRDefault="007625FD" w:rsidP="00EB317C">
            <w:pPr>
              <w:spacing w:after="0"/>
              <w:jc w:val="center"/>
              <w:rPr>
                <w:rFonts w:ascii="Calibri" w:eastAsia="Times New Roman" w:hAnsi="Calibri" w:cs="Calibri"/>
                <w:color w:val="FFFFFF" w:themeColor="background1"/>
                <w:lang w:val="en-GB" w:eastAsia="en-GB"/>
              </w:rPr>
            </w:pPr>
            <w:r w:rsidRPr="00D367BD">
              <w:rPr>
                <w:rFonts w:ascii="Calibri" w:eastAsia="Times New Roman" w:hAnsi="Calibri" w:cs="Calibri"/>
                <w:color w:val="FFFFFF" w:themeColor="background1"/>
                <w:lang w:val="en-GB" w:eastAsia="en-GB"/>
              </w:rPr>
              <w:t>Ability to extend Agreement to Affiliates?</w:t>
            </w:r>
          </w:p>
        </w:tc>
      </w:tr>
      <w:tr w:rsidR="007625FD" w:rsidRPr="003F6ED1" w14:paraId="7CCF6E76" w14:textId="77777777" w:rsidTr="00EB317C">
        <w:trPr>
          <w:trHeight w:val="397"/>
        </w:trPr>
        <w:tc>
          <w:tcPr>
            <w:tcW w:w="3920" w:type="dxa"/>
            <w:tcBorders>
              <w:top w:val="nil"/>
              <w:left w:val="nil"/>
              <w:bottom w:val="single" w:sz="4" w:space="0" w:color="auto"/>
              <w:right w:val="nil"/>
            </w:tcBorders>
            <w:shd w:val="clear" w:color="auto" w:fill="auto"/>
            <w:noWrap/>
            <w:vAlign w:val="center"/>
            <w:hideMark/>
          </w:tcPr>
          <w:p w14:paraId="72C55AFC" w14:textId="77777777" w:rsidR="007625FD" w:rsidRPr="003F6ED1" w:rsidRDefault="007625FD" w:rsidP="00EB317C">
            <w:pPr>
              <w:spacing w:after="0"/>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Bank</w:t>
            </w:r>
          </w:p>
        </w:tc>
        <w:tc>
          <w:tcPr>
            <w:tcW w:w="3980" w:type="dxa"/>
            <w:tcBorders>
              <w:top w:val="nil"/>
              <w:left w:val="nil"/>
              <w:bottom w:val="single" w:sz="4" w:space="0" w:color="auto"/>
              <w:right w:val="nil"/>
            </w:tcBorders>
            <w:shd w:val="clear" w:color="auto" w:fill="auto"/>
            <w:noWrap/>
            <w:vAlign w:val="center"/>
            <w:hideMark/>
          </w:tcPr>
          <w:p w14:paraId="18407B85" w14:textId="77777777" w:rsidR="007625FD" w:rsidRPr="003F6ED1" w:rsidRDefault="007625FD" w:rsidP="00EB317C">
            <w:pPr>
              <w:spacing w:after="0"/>
              <w:jc w:val="center"/>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Y</w:t>
            </w:r>
          </w:p>
        </w:tc>
      </w:tr>
      <w:tr w:rsidR="007625FD" w:rsidRPr="003F6ED1" w14:paraId="72BB3799" w14:textId="77777777" w:rsidTr="00EB317C">
        <w:trPr>
          <w:trHeight w:val="397"/>
        </w:trPr>
        <w:tc>
          <w:tcPr>
            <w:tcW w:w="3920" w:type="dxa"/>
            <w:tcBorders>
              <w:top w:val="nil"/>
              <w:left w:val="nil"/>
              <w:bottom w:val="single" w:sz="4" w:space="0" w:color="auto"/>
              <w:right w:val="nil"/>
            </w:tcBorders>
            <w:shd w:val="clear" w:color="auto" w:fill="auto"/>
            <w:noWrap/>
            <w:vAlign w:val="center"/>
            <w:hideMark/>
          </w:tcPr>
          <w:p w14:paraId="3CCD9A35" w14:textId="77777777" w:rsidR="007625FD" w:rsidRPr="003F6ED1" w:rsidRDefault="007625FD" w:rsidP="00EB317C">
            <w:pPr>
              <w:spacing w:after="0"/>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Clearing House</w:t>
            </w:r>
          </w:p>
        </w:tc>
        <w:tc>
          <w:tcPr>
            <w:tcW w:w="3980" w:type="dxa"/>
            <w:tcBorders>
              <w:top w:val="nil"/>
              <w:left w:val="nil"/>
              <w:bottom w:val="single" w:sz="4" w:space="0" w:color="auto"/>
              <w:right w:val="nil"/>
            </w:tcBorders>
            <w:shd w:val="clear" w:color="auto" w:fill="auto"/>
            <w:noWrap/>
            <w:vAlign w:val="center"/>
            <w:hideMark/>
          </w:tcPr>
          <w:p w14:paraId="36A1A81D" w14:textId="77777777" w:rsidR="007625FD" w:rsidRPr="003F6ED1" w:rsidRDefault="007625FD" w:rsidP="00EB317C">
            <w:pPr>
              <w:spacing w:after="0"/>
              <w:jc w:val="center"/>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Y</w:t>
            </w:r>
          </w:p>
        </w:tc>
      </w:tr>
      <w:tr w:rsidR="007625FD" w:rsidRPr="003F6ED1" w14:paraId="7C8BA7D7" w14:textId="77777777" w:rsidTr="00EB317C">
        <w:trPr>
          <w:trHeight w:val="397"/>
        </w:trPr>
        <w:tc>
          <w:tcPr>
            <w:tcW w:w="3920" w:type="dxa"/>
            <w:tcBorders>
              <w:top w:val="nil"/>
              <w:left w:val="nil"/>
              <w:bottom w:val="single" w:sz="4" w:space="0" w:color="auto"/>
              <w:right w:val="nil"/>
            </w:tcBorders>
            <w:shd w:val="clear" w:color="auto" w:fill="auto"/>
            <w:noWrap/>
            <w:vAlign w:val="center"/>
            <w:hideMark/>
          </w:tcPr>
          <w:p w14:paraId="1350EB56" w14:textId="77777777" w:rsidR="007625FD" w:rsidRPr="003F6ED1" w:rsidRDefault="007625FD" w:rsidP="00EB317C">
            <w:pPr>
              <w:spacing w:after="0"/>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Commodity Trading Advisor (CTA)</w:t>
            </w:r>
          </w:p>
        </w:tc>
        <w:tc>
          <w:tcPr>
            <w:tcW w:w="3980" w:type="dxa"/>
            <w:tcBorders>
              <w:top w:val="nil"/>
              <w:left w:val="nil"/>
              <w:bottom w:val="single" w:sz="4" w:space="0" w:color="auto"/>
              <w:right w:val="nil"/>
            </w:tcBorders>
            <w:shd w:val="clear" w:color="auto" w:fill="auto"/>
            <w:noWrap/>
            <w:vAlign w:val="center"/>
            <w:hideMark/>
          </w:tcPr>
          <w:p w14:paraId="2260F45F" w14:textId="77777777" w:rsidR="007625FD" w:rsidRPr="003F6ED1" w:rsidRDefault="007625FD" w:rsidP="00EB317C">
            <w:pPr>
              <w:spacing w:after="0"/>
              <w:jc w:val="center"/>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Y</w:t>
            </w:r>
          </w:p>
        </w:tc>
      </w:tr>
      <w:tr w:rsidR="007625FD" w:rsidRPr="003F6ED1" w14:paraId="100DAD26" w14:textId="77777777" w:rsidTr="00EB317C">
        <w:trPr>
          <w:trHeight w:val="397"/>
        </w:trPr>
        <w:tc>
          <w:tcPr>
            <w:tcW w:w="3920" w:type="dxa"/>
            <w:tcBorders>
              <w:top w:val="nil"/>
              <w:left w:val="nil"/>
              <w:bottom w:val="single" w:sz="4" w:space="0" w:color="auto"/>
              <w:right w:val="nil"/>
            </w:tcBorders>
            <w:shd w:val="clear" w:color="auto" w:fill="auto"/>
            <w:noWrap/>
            <w:vAlign w:val="center"/>
            <w:hideMark/>
          </w:tcPr>
          <w:p w14:paraId="14B2E050" w14:textId="77777777" w:rsidR="007625FD" w:rsidRPr="003F6ED1" w:rsidRDefault="007625FD" w:rsidP="00EB317C">
            <w:pPr>
              <w:spacing w:after="0"/>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Custodian</w:t>
            </w:r>
          </w:p>
        </w:tc>
        <w:tc>
          <w:tcPr>
            <w:tcW w:w="3980" w:type="dxa"/>
            <w:tcBorders>
              <w:top w:val="nil"/>
              <w:left w:val="nil"/>
              <w:bottom w:val="single" w:sz="4" w:space="0" w:color="auto"/>
              <w:right w:val="nil"/>
            </w:tcBorders>
            <w:shd w:val="clear" w:color="auto" w:fill="auto"/>
            <w:noWrap/>
            <w:vAlign w:val="center"/>
            <w:hideMark/>
          </w:tcPr>
          <w:p w14:paraId="2D54249F" w14:textId="77777777" w:rsidR="007625FD" w:rsidRPr="003F6ED1" w:rsidRDefault="007625FD" w:rsidP="00EB317C">
            <w:pPr>
              <w:spacing w:after="0"/>
              <w:jc w:val="center"/>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Y</w:t>
            </w:r>
          </w:p>
        </w:tc>
      </w:tr>
      <w:tr w:rsidR="007625FD" w:rsidRPr="003F6ED1" w14:paraId="2B3ECC41" w14:textId="77777777" w:rsidTr="00EB317C">
        <w:trPr>
          <w:trHeight w:val="397"/>
        </w:trPr>
        <w:tc>
          <w:tcPr>
            <w:tcW w:w="3920" w:type="dxa"/>
            <w:tcBorders>
              <w:top w:val="nil"/>
              <w:left w:val="nil"/>
              <w:bottom w:val="single" w:sz="4" w:space="0" w:color="auto"/>
              <w:right w:val="nil"/>
            </w:tcBorders>
            <w:shd w:val="clear" w:color="auto" w:fill="auto"/>
            <w:noWrap/>
            <w:vAlign w:val="center"/>
            <w:hideMark/>
          </w:tcPr>
          <w:p w14:paraId="77B845EC" w14:textId="77777777" w:rsidR="007625FD" w:rsidRPr="003F6ED1" w:rsidRDefault="007625FD" w:rsidP="00EB317C">
            <w:pPr>
              <w:spacing w:after="0"/>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Data Management Provider</w:t>
            </w:r>
          </w:p>
        </w:tc>
        <w:tc>
          <w:tcPr>
            <w:tcW w:w="3980" w:type="dxa"/>
            <w:tcBorders>
              <w:top w:val="nil"/>
              <w:left w:val="nil"/>
              <w:bottom w:val="single" w:sz="4" w:space="0" w:color="auto"/>
              <w:right w:val="nil"/>
            </w:tcBorders>
            <w:shd w:val="clear" w:color="auto" w:fill="auto"/>
            <w:noWrap/>
            <w:vAlign w:val="center"/>
            <w:hideMark/>
          </w:tcPr>
          <w:p w14:paraId="735F54A2" w14:textId="77777777" w:rsidR="007625FD" w:rsidRPr="003F6ED1" w:rsidRDefault="007625FD" w:rsidP="00EB317C">
            <w:pPr>
              <w:spacing w:after="0"/>
              <w:jc w:val="center"/>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Y</w:t>
            </w:r>
          </w:p>
        </w:tc>
      </w:tr>
      <w:tr w:rsidR="007625FD" w:rsidRPr="003F6ED1" w14:paraId="649F9002" w14:textId="77777777" w:rsidTr="00EB317C">
        <w:trPr>
          <w:trHeight w:val="397"/>
        </w:trPr>
        <w:tc>
          <w:tcPr>
            <w:tcW w:w="3920" w:type="dxa"/>
            <w:tcBorders>
              <w:top w:val="nil"/>
              <w:left w:val="nil"/>
              <w:bottom w:val="single" w:sz="4" w:space="0" w:color="auto"/>
              <w:right w:val="nil"/>
            </w:tcBorders>
            <w:shd w:val="clear" w:color="auto" w:fill="auto"/>
            <w:noWrap/>
            <w:vAlign w:val="center"/>
            <w:hideMark/>
          </w:tcPr>
          <w:p w14:paraId="232EA7C4" w14:textId="77777777" w:rsidR="007625FD" w:rsidRPr="003F6ED1" w:rsidRDefault="007625FD" w:rsidP="00EB317C">
            <w:pPr>
              <w:spacing w:after="0"/>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Institutional Asset Management Services</w:t>
            </w:r>
          </w:p>
        </w:tc>
        <w:tc>
          <w:tcPr>
            <w:tcW w:w="3980" w:type="dxa"/>
            <w:tcBorders>
              <w:top w:val="nil"/>
              <w:left w:val="nil"/>
              <w:bottom w:val="single" w:sz="4" w:space="0" w:color="auto"/>
              <w:right w:val="nil"/>
            </w:tcBorders>
            <w:shd w:val="clear" w:color="auto" w:fill="auto"/>
            <w:noWrap/>
            <w:vAlign w:val="center"/>
            <w:hideMark/>
          </w:tcPr>
          <w:p w14:paraId="4FE6CEFD" w14:textId="77777777" w:rsidR="007625FD" w:rsidRPr="003F6ED1" w:rsidRDefault="007625FD" w:rsidP="00EB317C">
            <w:pPr>
              <w:spacing w:after="0"/>
              <w:jc w:val="center"/>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Y</w:t>
            </w:r>
          </w:p>
        </w:tc>
      </w:tr>
      <w:tr w:rsidR="007625FD" w:rsidRPr="003F6ED1" w14:paraId="09E881FE" w14:textId="77777777" w:rsidTr="00EB317C">
        <w:trPr>
          <w:trHeight w:val="397"/>
        </w:trPr>
        <w:tc>
          <w:tcPr>
            <w:tcW w:w="3920" w:type="dxa"/>
            <w:tcBorders>
              <w:top w:val="nil"/>
              <w:left w:val="nil"/>
              <w:bottom w:val="single" w:sz="4" w:space="0" w:color="auto"/>
              <w:right w:val="nil"/>
            </w:tcBorders>
            <w:shd w:val="clear" w:color="auto" w:fill="auto"/>
            <w:noWrap/>
            <w:vAlign w:val="center"/>
            <w:hideMark/>
          </w:tcPr>
          <w:p w14:paraId="58647D3C" w14:textId="77777777" w:rsidR="007625FD" w:rsidRPr="003F6ED1" w:rsidRDefault="007625FD" w:rsidP="00EB317C">
            <w:pPr>
              <w:spacing w:after="0"/>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lastRenderedPageBreak/>
              <w:t>Non-financial</w:t>
            </w:r>
          </w:p>
        </w:tc>
        <w:tc>
          <w:tcPr>
            <w:tcW w:w="3980" w:type="dxa"/>
            <w:tcBorders>
              <w:top w:val="nil"/>
              <w:left w:val="nil"/>
              <w:bottom w:val="single" w:sz="4" w:space="0" w:color="auto"/>
              <w:right w:val="nil"/>
            </w:tcBorders>
            <w:shd w:val="clear" w:color="auto" w:fill="auto"/>
            <w:noWrap/>
            <w:vAlign w:val="center"/>
            <w:hideMark/>
          </w:tcPr>
          <w:p w14:paraId="22253ED7" w14:textId="77777777" w:rsidR="007625FD" w:rsidRPr="003F6ED1" w:rsidRDefault="007625FD" w:rsidP="00EB317C">
            <w:pPr>
              <w:spacing w:after="0"/>
              <w:jc w:val="center"/>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Y</w:t>
            </w:r>
          </w:p>
        </w:tc>
      </w:tr>
      <w:tr w:rsidR="007625FD" w:rsidRPr="003F6ED1" w14:paraId="0C8B77EB" w14:textId="77777777" w:rsidTr="00EB317C">
        <w:trPr>
          <w:trHeight w:val="397"/>
        </w:trPr>
        <w:tc>
          <w:tcPr>
            <w:tcW w:w="3920" w:type="dxa"/>
            <w:tcBorders>
              <w:top w:val="nil"/>
              <w:left w:val="nil"/>
              <w:bottom w:val="single" w:sz="4" w:space="0" w:color="auto"/>
              <w:right w:val="nil"/>
            </w:tcBorders>
            <w:shd w:val="clear" w:color="auto" w:fill="auto"/>
            <w:noWrap/>
            <w:vAlign w:val="center"/>
            <w:hideMark/>
          </w:tcPr>
          <w:p w14:paraId="37CFB67B" w14:textId="77777777" w:rsidR="007625FD" w:rsidRPr="003F6ED1" w:rsidRDefault="007625FD" w:rsidP="00EB317C">
            <w:pPr>
              <w:spacing w:after="0"/>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Other Financial</w:t>
            </w:r>
          </w:p>
        </w:tc>
        <w:tc>
          <w:tcPr>
            <w:tcW w:w="3980" w:type="dxa"/>
            <w:tcBorders>
              <w:top w:val="nil"/>
              <w:left w:val="nil"/>
              <w:bottom w:val="single" w:sz="4" w:space="0" w:color="auto"/>
              <w:right w:val="nil"/>
            </w:tcBorders>
            <w:shd w:val="clear" w:color="auto" w:fill="auto"/>
            <w:noWrap/>
            <w:vAlign w:val="center"/>
            <w:hideMark/>
          </w:tcPr>
          <w:p w14:paraId="369851EB" w14:textId="77777777" w:rsidR="007625FD" w:rsidRPr="003F6ED1" w:rsidRDefault="007625FD" w:rsidP="00EB317C">
            <w:pPr>
              <w:spacing w:after="0"/>
              <w:jc w:val="center"/>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Y</w:t>
            </w:r>
          </w:p>
        </w:tc>
      </w:tr>
      <w:tr w:rsidR="007625FD" w:rsidRPr="003F6ED1" w14:paraId="08F891A0" w14:textId="77777777" w:rsidTr="00EB317C">
        <w:trPr>
          <w:trHeight w:val="397"/>
        </w:trPr>
        <w:tc>
          <w:tcPr>
            <w:tcW w:w="3920" w:type="dxa"/>
            <w:tcBorders>
              <w:top w:val="nil"/>
              <w:left w:val="nil"/>
              <w:bottom w:val="single" w:sz="4" w:space="0" w:color="auto"/>
              <w:right w:val="nil"/>
            </w:tcBorders>
            <w:shd w:val="clear" w:color="auto" w:fill="auto"/>
            <w:noWrap/>
            <w:vAlign w:val="center"/>
            <w:hideMark/>
          </w:tcPr>
          <w:p w14:paraId="5D843A27" w14:textId="77777777" w:rsidR="007625FD" w:rsidRPr="003F6ED1" w:rsidRDefault="007625FD" w:rsidP="00EB317C">
            <w:pPr>
              <w:spacing w:after="0"/>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Pension Fund Manager</w:t>
            </w:r>
          </w:p>
        </w:tc>
        <w:tc>
          <w:tcPr>
            <w:tcW w:w="3980" w:type="dxa"/>
            <w:tcBorders>
              <w:top w:val="nil"/>
              <w:left w:val="nil"/>
              <w:bottom w:val="single" w:sz="4" w:space="0" w:color="auto"/>
              <w:right w:val="nil"/>
            </w:tcBorders>
            <w:shd w:val="clear" w:color="auto" w:fill="auto"/>
            <w:noWrap/>
            <w:vAlign w:val="center"/>
            <w:hideMark/>
          </w:tcPr>
          <w:p w14:paraId="34B7C475" w14:textId="77777777" w:rsidR="007625FD" w:rsidRPr="003F6ED1" w:rsidRDefault="007625FD" w:rsidP="00EB317C">
            <w:pPr>
              <w:spacing w:after="0"/>
              <w:jc w:val="center"/>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Y</w:t>
            </w:r>
          </w:p>
        </w:tc>
      </w:tr>
      <w:tr w:rsidR="007625FD" w:rsidRPr="003F6ED1" w14:paraId="733D2E8B" w14:textId="77777777" w:rsidTr="00EB317C">
        <w:trPr>
          <w:trHeight w:val="397"/>
        </w:trPr>
        <w:tc>
          <w:tcPr>
            <w:tcW w:w="3920" w:type="dxa"/>
            <w:tcBorders>
              <w:top w:val="nil"/>
              <w:left w:val="nil"/>
              <w:bottom w:val="single" w:sz="4" w:space="0" w:color="auto"/>
              <w:right w:val="nil"/>
            </w:tcBorders>
            <w:shd w:val="clear" w:color="auto" w:fill="auto"/>
            <w:noWrap/>
            <w:vAlign w:val="center"/>
            <w:hideMark/>
          </w:tcPr>
          <w:p w14:paraId="42F767CA" w14:textId="77777777" w:rsidR="007625FD" w:rsidRPr="003F6ED1" w:rsidRDefault="007625FD" w:rsidP="00EB317C">
            <w:pPr>
              <w:spacing w:after="0"/>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Technology Service Provider</w:t>
            </w:r>
          </w:p>
        </w:tc>
        <w:tc>
          <w:tcPr>
            <w:tcW w:w="3980" w:type="dxa"/>
            <w:tcBorders>
              <w:top w:val="nil"/>
              <w:left w:val="nil"/>
              <w:bottom w:val="single" w:sz="4" w:space="0" w:color="auto"/>
              <w:right w:val="nil"/>
            </w:tcBorders>
            <w:shd w:val="clear" w:color="auto" w:fill="auto"/>
            <w:noWrap/>
            <w:vAlign w:val="center"/>
            <w:hideMark/>
          </w:tcPr>
          <w:p w14:paraId="285580DC" w14:textId="77777777" w:rsidR="007625FD" w:rsidRPr="003F6ED1" w:rsidRDefault="007625FD" w:rsidP="00EB317C">
            <w:pPr>
              <w:spacing w:after="0"/>
              <w:jc w:val="center"/>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Y</w:t>
            </w:r>
          </w:p>
        </w:tc>
      </w:tr>
      <w:tr w:rsidR="007625FD" w:rsidRPr="003F6ED1" w14:paraId="77DDED1B" w14:textId="77777777" w:rsidTr="00EB317C">
        <w:trPr>
          <w:trHeight w:val="397"/>
        </w:trPr>
        <w:tc>
          <w:tcPr>
            <w:tcW w:w="3920" w:type="dxa"/>
            <w:tcBorders>
              <w:top w:val="nil"/>
              <w:left w:val="nil"/>
              <w:bottom w:val="single" w:sz="4" w:space="0" w:color="auto"/>
              <w:right w:val="nil"/>
            </w:tcBorders>
            <w:shd w:val="clear" w:color="auto" w:fill="auto"/>
            <w:noWrap/>
            <w:vAlign w:val="center"/>
            <w:hideMark/>
          </w:tcPr>
          <w:p w14:paraId="0D2F744C" w14:textId="77777777" w:rsidR="007625FD" w:rsidRPr="003F6ED1" w:rsidRDefault="007625FD" w:rsidP="00EB317C">
            <w:pPr>
              <w:spacing w:after="0"/>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Trade Association</w:t>
            </w:r>
          </w:p>
        </w:tc>
        <w:tc>
          <w:tcPr>
            <w:tcW w:w="3980" w:type="dxa"/>
            <w:tcBorders>
              <w:top w:val="nil"/>
              <w:left w:val="nil"/>
              <w:bottom w:val="single" w:sz="4" w:space="0" w:color="auto"/>
              <w:right w:val="nil"/>
            </w:tcBorders>
            <w:shd w:val="clear" w:color="auto" w:fill="auto"/>
            <w:noWrap/>
            <w:vAlign w:val="center"/>
            <w:hideMark/>
          </w:tcPr>
          <w:p w14:paraId="708D4D5D" w14:textId="77777777" w:rsidR="007625FD" w:rsidRPr="003F6ED1" w:rsidRDefault="007625FD" w:rsidP="00EB317C">
            <w:pPr>
              <w:spacing w:after="0"/>
              <w:jc w:val="center"/>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Y</w:t>
            </w:r>
          </w:p>
        </w:tc>
      </w:tr>
      <w:tr w:rsidR="007625FD" w:rsidRPr="003F6ED1" w14:paraId="02045F5A" w14:textId="77777777" w:rsidTr="00EB317C">
        <w:trPr>
          <w:trHeight w:val="397"/>
        </w:trPr>
        <w:tc>
          <w:tcPr>
            <w:tcW w:w="3920" w:type="dxa"/>
            <w:tcBorders>
              <w:top w:val="nil"/>
              <w:left w:val="nil"/>
              <w:bottom w:val="single" w:sz="4" w:space="0" w:color="auto"/>
              <w:right w:val="nil"/>
            </w:tcBorders>
            <w:shd w:val="clear" w:color="auto" w:fill="auto"/>
            <w:noWrap/>
            <w:vAlign w:val="center"/>
            <w:hideMark/>
          </w:tcPr>
          <w:p w14:paraId="17DE1C9F" w14:textId="77777777" w:rsidR="007625FD" w:rsidRPr="003F6ED1" w:rsidRDefault="007625FD" w:rsidP="00EB317C">
            <w:pPr>
              <w:spacing w:after="0"/>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 xml:space="preserve">Wealth Management Services </w:t>
            </w:r>
          </w:p>
        </w:tc>
        <w:tc>
          <w:tcPr>
            <w:tcW w:w="3980" w:type="dxa"/>
            <w:tcBorders>
              <w:top w:val="nil"/>
              <w:left w:val="nil"/>
              <w:bottom w:val="single" w:sz="4" w:space="0" w:color="auto"/>
              <w:right w:val="nil"/>
            </w:tcBorders>
            <w:shd w:val="clear" w:color="auto" w:fill="auto"/>
            <w:noWrap/>
            <w:vAlign w:val="center"/>
            <w:hideMark/>
          </w:tcPr>
          <w:p w14:paraId="3EFCC452" w14:textId="77777777" w:rsidR="007625FD" w:rsidRPr="003F6ED1" w:rsidRDefault="007625FD" w:rsidP="00EB317C">
            <w:pPr>
              <w:spacing w:after="0"/>
              <w:jc w:val="center"/>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Y</w:t>
            </w:r>
          </w:p>
        </w:tc>
      </w:tr>
      <w:tr w:rsidR="007625FD" w:rsidRPr="003F6ED1" w14:paraId="5E2015B5" w14:textId="77777777" w:rsidTr="00EB317C">
        <w:trPr>
          <w:trHeight w:val="397"/>
        </w:trPr>
        <w:tc>
          <w:tcPr>
            <w:tcW w:w="3920" w:type="dxa"/>
            <w:tcBorders>
              <w:top w:val="nil"/>
              <w:left w:val="nil"/>
              <w:bottom w:val="single" w:sz="4" w:space="0" w:color="auto"/>
              <w:right w:val="nil"/>
            </w:tcBorders>
            <w:shd w:val="clear" w:color="auto" w:fill="auto"/>
            <w:noWrap/>
            <w:vAlign w:val="center"/>
            <w:hideMark/>
          </w:tcPr>
          <w:p w14:paraId="7CCA9FD6" w14:textId="77777777" w:rsidR="007625FD" w:rsidRPr="003F6ED1" w:rsidRDefault="007625FD" w:rsidP="00EB317C">
            <w:pPr>
              <w:spacing w:after="0"/>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Brokerage</w:t>
            </w:r>
          </w:p>
        </w:tc>
        <w:tc>
          <w:tcPr>
            <w:tcW w:w="3980" w:type="dxa"/>
            <w:tcBorders>
              <w:top w:val="nil"/>
              <w:left w:val="nil"/>
              <w:bottom w:val="single" w:sz="4" w:space="0" w:color="auto"/>
              <w:right w:val="nil"/>
            </w:tcBorders>
            <w:shd w:val="clear" w:color="auto" w:fill="auto"/>
            <w:noWrap/>
            <w:vAlign w:val="center"/>
            <w:hideMark/>
          </w:tcPr>
          <w:p w14:paraId="0462D207" w14:textId="77777777" w:rsidR="007625FD" w:rsidRPr="003F6ED1" w:rsidRDefault="007625FD" w:rsidP="00EB317C">
            <w:pPr>
              <w:spacing w:after="0"/>
              <w:jc w:val="center"/>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N</w:t>
            </w:r>
          </w:p>
        </w:tc>
      </w:tr>
      <w:tr w:rsidR="007625FD" w:rsidRPr="003F6ED1" w14:paraId="35413555" w14:textId="77777777" w:rsidTr="00EB317C">
        <w:trPr>
          <w:trHeight w:val="397"/>
        </w:trPr>
        <w:tc>
          <w:tcPr>
            <w:tcW w:w="3920" w:type="dxa"/>
            <w:tcBorders>
              <w:top w:val="nil"/>
              <w:left w:val="nil"/>
              <w:bottom w:val="single" w:sz="4" w:space="0" w:color="auto"/>
              <w:right w:val="nil"/>
            </w:tcBorders>
            <w:shd w:val="clear" w:color="auto" w:fill="auto"/>
            <w:noWrap/>
            <w:vAlign w:val="center"/>
            <w:hideMark/>
          </w:tcPr>
          <w:p w14:paraId="0FED9F51" w14:textId="77777777" w:rsidR="007625FD" w:rsidRPr="003F6ED1" w:rsidRDefault="007625FD" w:rsidP="00EB317C">
            <w:pPr>
              <w:spacing w:after="0"/>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Trade Execution Platform – MTF</w:t>
            </w:r>
          </w:p>
        </w:tc>
        <w:tc>
          <w:tcPr>
            <w:tcW w:w="3980" w:type="dxa"/>
            <w:tcBorders>
              <w:top w:val="nil"/>
              <w:left w:val="nil"/>
              <w:bottom w:val="single" w:sz="4" w:space="0" w:color="auto"/>
              <w:right w:val="nil"/>
            </w:tcBorders>
            <w:shd w:val="clear" w:color="auto" w:fill="auto"/>
            <w:noWrap/>
            <w:vAlign w:val="center"/>
            <w:hideMark/>
          </w:tcPr>
          <w:p w14:paraId="2A05A2BF" w14:textId="77777777" w:rsidR="007625FD" w:rsidRPr="003F6ED1" w:rsidRDefault="007625FD" w:rsidP="00EB317C">
            <w:pPr>
              <w:spacing w:after="0"/>
              <w:jc w:val="center"/>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N</w:t>
            </w:r>
          </w:p>
        </w:tc>
      </w:tr>
      <w:tr w:rsidR="007625FD" w:rsidRPr="003F6ED1" w14:paraId="16562AD5" w14:textId="77777777" w:rsidTr="00EB317C">
        <w:trPr>
          <w:trHeight w:val="397"/>
        </w:trPr>
        <w:tc>
          <w:tcPr>
            <w:tcW w:w="3920" w:type="dxa"/>
            <w:tcBorders>
              <w:top w:val="nil"/>
              <w:left w:val="nil"/>
              <w:bottom w:val="single" w:sz="4" w:space="0" w:color="auto"/>
              <w:right w:val="nil"/>
            </w:tcBorders>
            <w:shd w:val="clear" w:color="auto" w:fill="auto"/>
            <w:noWrap/>
            <w:vAlign w:val="center"/>
            <w:hideMark/>
          </w:tcPr>
          <w:p w14:paraId="21A7BD58" w14:textId="77777777" w:rsidR="007625FD" w:rsidRPr="003F6ED1" w:rsidRDefault="007625FD" w:rsidP="00EB317C">
            <w:pPr>
              <w:spacing w:after="0"/>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Trade Execution Platform – OTF</w:t>
            </w:r>
          </w:p>
        </w:tc>
        <w:tc>
          <w:tcPr>
            <w:tcW w:w="3980" w:type="dxa"/>
            <w:tcBorders>
              <w:top w:val="nil"/>
              <w:left w:val="nil"/>
              <w:bottom w:val="single" w:sz="4" w:space="0" w:color="auto"/>
              <w:right w:val="nil"/>
            </w:tcBorders>
            <w:shd w:val="clear" w:color="auto" w:fill="auto"/>
            <w:noWrap/>
            <w:vAlign w:val="center"/>
            <w:hideMark/>
          </w:tcPr>
          <w:p w14:paraId="3B17AD0A" w14:textId="77777777" w:rsidR="007625FD" w:rsidRPr="003F6ED1" w:rsidRDefault="007625FD" w:rsidP="00EB317C">
            <w:pPr>
              <w:spacing w:after="0"/>
              <w:jc w:val="center"/>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N</w:t>
            </w:r>
          </w:p>
        </w:tc>
      </w:tr>
      <w:tr w:rsidR="007625FD" w:rsidRPr="003F6ED1" w14:paraId="129DCB49" w14:textId="77777777" w:rsidTr="00EB317C">
        <w:trPr>
          <w:trHeight w:val="397"/>
        </w:trPr>
        <w:tc>
          <w:tcPr>
            <w:tcW w:w="3920" w:type="dxa"/>
            <w:tcBorders>
              <w:top w:val="nil"/>
              <w:left w:val="nil"/>
              <w:bottom w:val="single" w:sz="4" w:space="0" w:color="auto"/>
              <w:right w:val="nil"/>
            </w:tcBorders>
            <w:shd w:val="clear" w:color="auto" w:fill="auto"/>
            <w:noWrap/>
            <w:vAlign w:val="center"/>
            <w:hideMark/>
          </w:tcPr>
          <w:p w14:paraId="02B5EAD3" w14:textId="77777777" w:rsidR="007625FD" w:rsidRPr="003F6ED1" w:rsidRDefault="007625FD" w:rsidP="00EB317C">
            <w:pPr>
              <w:spacing w:after="0"/>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Trade Execution Platform – Other</w:t>
            </w:r>
          </w:p>
        </w:tc>
        <w:tc>
          <w:tcPr>
            <w:tcW w:w="3980" w:type="dxa"/>
            <w:tcBorders>
              <w:top w:val="nil"/>
              <w:left w:val="nil"/>
              <w:bottom w:val="single" w:sz="4" w:space="0" w:color="auto"/>
              <w:right w:val="nil"/>
            </w:tcBorders>
            <w:shd w:val="clear" w:color="auto" w:fill="auto"/>
            <w:noWrap/>
            <w:vAlign w:val="center"/>
            <w:hideMark/>
          </w:tcPr>
          <w:p w14:paraId="17FE5208" w14:textId="77777777" w:rsidR="007625FD" w:rsidRPr="003F6ED1" w:rsidRDefault="007625FD" w:rsidP="00EB317C">
            <w:pPr>
              <w:spacing w:after="0"/>
              <w:jc w:val="center"/>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N</w:t>
            </w:r>
          </w:p>
        </w:tc>
      </w:tr>
      <w:tr w:rsidR="007625FD" w:rsidRPr="003F6ED1" w14:paraId="3C49B2BE" w14:textId="77777777" w:rsidTr="00EB317C">
        <w:trPr>
          <w:trHeight w:val="397"/>
        </w:trPr>
        <w:tc>
          <w:tcPr>
            <w:tcW w:w="3920" w:type="dxa"/>
            <w:tcBorders>
              <w:top w:val="nil"/>
              <w:left w:val="nil"/>
              <w:bottom w:val="single" w:sz="4" w:space="0" w:color="auto"/>
              <w:right w:val="nil"/>
            </w:tcBorders>
            <w:shd w:val="clear" w:color="auto" w:fill="auto"/>
            <w:noWrap/>
            <w:vAlign w:val="center"/>
            <w:hideMark/>
          </w:tcPr>
          <w:p w14:paraId="4A8C79D9" w14:textId="77777777" w:rsidR="007625FD" w:rsidRPr="003F6ED1" w:rsidRDefault="007625FD" w:rsidP="00EB317C">
            <w:pPr>
              <w:spacing w:after="0"/>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Trade Execution Platform – SEF</w:t>
            </w:r>
          </w:p>
        </w:tc>
        <w:tc>
          <w:tcPr>
            <w:tcW w:w="3980" w:type="dxa"/>
            <w:tcBorders>
              <w:top w:val="nil"/>
              <w:left w:val="nil"/>
              <w:bottom w:val="single" w:sz="4" w:space="0" w:color="auto"/>
              <w:right w:val="nil"/>
            </w:tcBorders>
            <w:shd w:val="clear" w:color="auto" w:fill="auto"/>
            <w:noWrap/>
            <w:vAlign w:val="center"/>
            <w:hideMark/>
          </w:tcPr>
          <w:p w14:paraId="0A2B5ADE" w14:textId="77777777" w:rsidR="007625FD" w:rsidRPr="003F6ED1" w:rsidRDefault="007625FD" w:rsidP="00EB317C">
            <w:pPr>
              <w:spacing w:after="0"/>
              <w:jc w:val="center"/>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N</w:t>
            </w:r>
          </w:p>
        </w:tc>
      </w:tr>
      <w:tr w:rsidR="007625FD" w:rsidRPr="003F6ED1" w14:paraId="442E958B" w14:textId="77777777" w:rsidTr="00EB317C">
        <w:trPr>
          <w:trHeight w:val="397"/>
        </w:trPr>
        <w:tc>
          <w:tcPr>
            <w:tcW w:w="3920" w:type="dxa"/>
            <w:tcBorders>
              <w:top w:val="nil"/>
              <w:left w:val="nil"/>
              <w:bottom w:val="single" w:sz="4" w:space="0" w:color="auto"/>
              <w:right w:val="nil"/>
            </w:tcBorders>
            <w:shd w:val="clear" w:color="auto" w:fill="auto"/>
            <w:noWrap/>
            <w:vAlign w:val="center"/>
            <w:hideMark/>
          </w:tcPr>
          <w:p w14:paraId="725AF06C" w14:textId="77777777" w:rsidR="007625FD" w:rsidRPr="003F6ED1" w:rsidRDefault="007625FD" w:rsidP="00EB317C">
            <w:pPr>
              <w:spacing w:after="0"/>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Trade Repository</w:t>
            </w:r>
          </w:p>
        </w:tc>
        <w:tc>
          <w:tcPr>
            <w:tcW w:w="3980" w:type="dxa"/>
            <w:tcBorders>
              <w:top w:val="nil"/>
              <w:left w:val="nil"/>
              <w:bottom w:val="single" w:sz="4" w:space="0" w:color="auto"/>
              <w:right w:val="nil"/>
            </w:tcBorders>
            <w:shd w:val="clear" w:color="auto" w:fill="auto"/>
            <w:noWrap/>
            <w:vAlign w:val="center"/>
            <w:hideMark/>
          </w:tcPr>
          <w:p w14:paraId="25C6516D" w14:textId="77777777" w:rsidR="007625FD" w:rsidRPr="003F6ED1" w:rsidRDefault="007625FD" w:rsidP="00EB317C">
            <w:pPr>
              <w:spacing w:after="0"/>
              <w:jc w:val="center"/>
              <w:rPr>
                <w:rFonts w:ascii="Calibri" w:eastAsia="Times New Roman" w:hAnsi="Calibri" w:cs="Calibri"/>
                <w:color w:val="000000"/>
                <w:lang w:val="en-GB" w:eastAsia="en-GB"/>
              </w:rPr>
            </w:pPr>
            <w:r w:rsidRPr="003F6ED1">
              <w:rPr>
                <w:rFonts w:ascii="Calibri" w:eastAsia="Times New Roman" w:hAnsi="Calibri" w:cs="Calibri"/>
                <w:color w:val="000000"/>
                <w:lang w:val="en-GB" w:eastAsia="en-GB"/>
              </w:rPr>
              <w:t>N</w:t>
            </w:r>
          </w:p>
        </w:tc>
      </w:tr>
    </w:tbl>
    <w:p w14:paraId="4A2BD242" w14:textId="77777777" w:rsidR="007625FD" w:rsidRDefault="007625FD" w:rsidP="007625FD">
      <w:pPr>
        <w:rPr>
          <w:lang w:val="en-GB"/>
        </w:rPr>
      </w:pPr>
    </w:p>
    <w:p w14:paraId="0E2E02E0" w14:textId="77777777" w:rsidR="007625FD" w:rsidRDefault="007625FD" w:rsidP="00BF1370">
      <w:pPr>
        <w:jc w:val="both"/>
        <w:rPr>
          <w:lang w:val="en-GB"/>
        </w:rPr>
      </w:pPr>
      <w:r>
        <w:rPr>
          <w:lang w:val="en-GB"/>
        </w:rPr>
        <w:t>Note that the list of Organisation Types and their eligibility to cover Affiliates is subject to change, aligned to evolution of the DSB Service and subject to industry consultation.</w:t>
      </w:r>
    </w:p>
    <w:p w14:paraId="1630F723" w14:textId="16E4871A" w:rsidR="007625FD" w:rsidRDefault="007625FD" w:rsidP="00BF1370">
      <w:pPr>
        <w:jc w:val="both"/>
        <w:rPr>
          <w:lang w:val="en-GB"/>
        </w:rPr>
      </w:pPr>
      <w:r>
        <w:rPr>
          <w:lang w:val="en-GB"/>
        </w:rPr>
        <w:t>On the COSP</w:t>
      </w:r>
      <w:r w:rsidRPr="00E40F70">
        <w:rPr>
          <w:lang w:val="en-GB"/>
        </w:rPr>
        <w:t>, identification of Affiliates and Third-Party entities (e.g., Intermediaries, Software Vendors</w:t>
      </w:r>
      <w:r w:rsidR="000235C9">
        <w:rPr>
          <w:lang w:val="en-GB"/>
        </w:rPr>
        <w:t>/</w:t>
      </w:r>
      <w:r w:rsidR="00DD5D72">
        <w:rPr>
          <w:lang w:val="en-GB"/>
        </w:rPr>
        <w:t xml:space="preserve">Technology </w:t>
      </w:r>
      <w:r w:rsidR="00866C2E">
        <w:rPr>
          <w:lang w:val="en-GB"/>
        </w:rPr>
        <w:t>Service Providers</w:t>
      </w:r>
      <w:r w:rsidRPr="00E40F70">
        <w:rPr>
          <w:lang w:val="en-GB"/>
        </w:rPr>
        <w:t>) will also be through provision of a Legal Entity Identifier (LEI)</w:t>
      </w:r>
      <w:r>
        <w:rPr>
          <w:lang w:val="en-GB"/>
        </w:rPr>
        <w:t>.</w:t>
      </w:r>
    </w:p>
    <w:p w14:paraId="6F85B02F" w14:textId="77777777" w:rsidR="007625FD" w:rsidRPr="001C2710" w:rsidRDefault="007625FD" w:rsidP="007625FD">
      <w:pPr>
        <w:rPr>
          <w:lang w:val="en-GB"/>
        </w:rPr>
      </w:pPr>
    </w:p>
    <w:bookmarkStart w:id="82" w:name="_Ref83897154"/>
    <w:bookmarkStart w:id="83" w:name="_Ref83897159"/>
    <w:bookmarkStart w:id="84" w:name="_Ref83897184"/>
    <w:bookmarkStart w:id="85" w:name="_Toc86680478"/>
    <w:p w14:paraId="76C4FD4C" w14:textId="77777777" w:rsidR="007625FD" w:rsidRPr="00623841" w:rsidRDefault="007625FD" w:rsidP="007625FD">
      <w:pPr>
        <w:pStyle w:val="Heading2"/>
        <w:spacing w:before="0" w:line="276" w:lineRule="auto"/>
      </w:pPr>
      <w:r>
        <w:rPr>
          <w:noProof/>
          <w:lang w:eastAsia="en-GB"/>
        </w:rPr>
        <w:lastRenderedPageBreak/>
        <mc:AlternateContent>
          <mc:Choice Requires="wps">
            <w:drawing>
              <wp:anchor distT="45720" distB="45720" distL="114300" distR="114300" simplePos="0" relativeHeight="251658252" behindDoc="0" locked="0" layoutInCell="1" allowOverlap="1" wp14:anchorId="599CCD47" wp14:editId="6F7BF7AE">
                <wp:simplePos x="0" y="0"/>
                <wp:positionH relativeFrom="margin">
                  <wp:posOffset>38735</wp:posOffset>
                </wp:positionH>
                <wp:positionV relativeFrom="paragraph">
                  <wp:posOffset>321244</wp:posOffset>
                </wp:positionV>
                <wp:extent cx="5716905" cy="1404620"/>
                <wp:effectExtent l="0" t="0" r="17145"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rgbClr val="FFFFFF"/>
                        </a:solidFill>
                        <a:ln w="9525">
                          <a:solidFill>
                            <a:srgbClr val="04AEB9"/>
                          </a:solidFill>
                          <a:miter lim="800000"/>
                          <a:headEnd/>
                          <a:tailEnd/>
                        </a:ln>
                      </wps:spPr>
                      <wps:txbx>
                        <w:txbxContent>
                          <w:p w14:paraId="164EDBFF"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6A5A93C9" w14:textId="19E99B17" w:rsidR="007625FD" w:rsidRDefault="007625FD" w:rsidP="00BF1370">
                            <w:pPr>
                              <w:pStyle w:val="paragraph"/>
                              <w:spacing w:before="240" w:beforeAutospacing="0" w:after="120" w:afterAutospacing="0" w:line="276" w:lineRule="auto"/>
                              <w:jc w:val="both"/>
                              <w:textAlignment w:val="baseline"/>
                              <w:rPr>
                                <w:rStyle w:val="normaltextrun"/>
                                <w:rFonts w:asciiTheme="minorHAnsi" w:hAnsiTheme="minorHAnsi" w:cstheme="minorHAnsi"/>
                                <w:color w:val="000000"/>
                                <w:sz w:val="22"/>
                                <w:szCs w:val="22"/>
                              </w:rPr>
                            </w:pPr>
                            <w:r w:rsidRPr="00101040">
                              <w:rPr>
                                <w:rStyle w:val="normaltextrun"/>
                                <w:rFonts w:asciiTheme="minorHAnsi" w:hAnsiTheme="minorHAnsi" w:cstheme="minorHAnsi"/>
                                <w:color w:val="000000"/>
                                <w:sz w:val="22"/>
                                <w:szCs w:val="22"/>
                              </w:rPr>
                              <w:t xml:space="preserve">Within the </w:t>
                            </w:r>
                            <w:r>
                              <w:rPr>
                                <w:rStyle w:val="normaltextrun"/>
                                <w:rFonts w:asciiTheme="minorHAnsi" w:hAnsiTheme="minorHAnsi" w:cstheme="minorHAnsi"/>
                                <w:color w:val="000000"/>
                                <w:sz w:val="22"/>
                                <w:szCs w:val="22"/>
                              </w:rPr>
                              <w:t xml:space="preserve">existing </w:t>
                            </w:r>
                            <w:r w:rsidRPr="00101040">
                              <w:rPr>
                                <w:rStyle w:val="normaltextrun"/>
                                <w:rFonts w:asciiTheme="minorHAnsi" w:hAnsiTheme="minorHAnsi" w:cstheme="minorHAnsi"/>
                                <w:color w:val="000000"/>
                                <w:sz w:val="22"/>
                                <w:szCs w:val="22"/>
                              </w:rPr>
                              <w:t xml:space="preserve">payment in advance principle, the DSB also intends to introduce online pre-payment for the </w:t>
                            </w:r>
                            <w:r w:rsidR="00F07F21">
                              <w:rPr>
                                <w:rStyle w:val="normaltextrun"/>
                                <w:rFonts w:asciiTheme="minorHAnsi" w:hAnsiTheme="minorHAnsi" w:cstheme="minorHAnsi"/>
                                <w:color w:val="000000"/>
                                <w:sz w:val="22"/>
                                <w:szCs w:val="22"/>
                              </w:rPr>
                              <w:t>UPI Service</w:t>
                            </w:r>
                            <w:r>
                              <w:rPr>
                                <w:rStyle w:val="normaltextrun"/>
                                <w:rFonts w:asciiTheme="minorHAnsi" w:hAnsiTheme="minorHAnsi" w:cstheme="minorHAnsi"/>
                                <w:color w:val="000000"/>
                                <w:sz w:val="22"/>
                                <w:szCs w:val="22"/>
                              </w:rPr>
                              <w:t xml:space="preserve"> for certain UPI User Types (based on </w:t>
                            </w:r>
                            <w:r w:rsidRPr="00101040">
                              <w:rPr>
                                <w:rStyle w:val="normaltextrun"/>
                                <w:rFonts w:asciiTheme="minorHAnsi" w:hAnsiTheme="minorHAnsi" w:cstheme="minorHAnsi"/>
                                <w:color w:val="000000"/>
                                <w:sz w:val="22"/>
                                <w:szCs w:val="22"/>
                              </w:rPr>
                              <w:t>the associated fee levels</w:t>
                            </w:r>
                            <w:r>
                              <w:rPr>
                                <w:rStyle w:val="normaltextrun"/>
                                <w:rFonts w:asciiTheme="minorHAnsi" w:hAnsiTheme="minorHAnsi" w:cstheme="minorHAnsi"/>
                                <w:color w:val="000000"/>
                                <w:sz w:val="22"/>
                                <w:szCs w:val="22"/>
                              </w:rPr>
                              <w:t>)</w:t>
                            </w:r>
                            <w:r w:rsidR="002A529D">
                              <w:rPr>
                                <w:rStyle w:val="normaltextrun"/>
                                <w:rFonts w:asciiTheme="minorHAnsi" w:hAnsiTheme="minorHAnsi" w:cstheme="minorHAnsi"/>
                                <w:color w:val="000000"/>
                                <w:sz w:val="22"/>
                                <w:szCs w:val="22"/>
                              </w:rPr>
                              <w:t xml:space="preserve">. </w:t>
                            </w:r>
                          </w:p>
                          <w:p w14:paraId="2FE4712B" w14:textId="77777777" w:rsidR="007625FD" w:rsidRDefault="007625FD" w:rsidP="00BF1370">
                            <w:pPr>
                              <w:pStyle w:val="paragraph"/>
                              <w:spacing w:before="240" w:after="120" w:line="276" w:lineRule="auto"/>
                              <w:jc w:val="both"/>
                              <w:textAlignment w:val="baseline"/>
                              <w:rPr>
                                <w:rStyle w:val="normaltextrun"/>
                                <w:rFonts w:asciiTheme="minorHAnsi" w:hAnsiTheme="minorHAnsi" w:cstheme="minorHAnsi"/>
                                <w:color w:val="000000"/>
                                <w:sz w:val="22"/>
                                <w:szCs w:val="22"/>
                              </w:rPr>
                            </w:pPr>
                            <w:r w:rsidRPr="00101040">
                              <w:rPr>
                                <w:rStyle w:val="normaltextrun"/>
                                <w:rFonts w:asciiTheme="minorHAnsi" w:hAnsiTheme="minorHAnsi" w:cstheme="minorHAnsi"/>
                                <w:color w:val="000000"/>
                                <w:sz w:val="22"/>
                                <w:szCs w:val="22"/>
                              </w:rPr>
                              <w:t xml:space="preserve">The key driver for </w:t>
                            </w:r>
                            <w:r>
                              <w:rPr>
                                <w:rStyle w:val="normaltextrun"/>
                                <w:rFonts w:asciiTheme="minorHAnsi" w:hAnsiTheme="minorHAnsi" w:cstheme="minorHAnsi"/>
                                <w:color w:val="000000"/>
                                <w:sz w:val="22"/>
                                <w:szCs w:val="22"/>
                              </w:rPr>
                              <w:t>introducing</w:t>
                            </w:r>
                            <w:r w:rsidRPr="00101040">
                              <w:rPr>
                                <w:rStyle w:val="normaltextrun"/>
                                <w:rFonts w:asciiTheme="minorHAnsi" w:hAnsiTheme="minorHAnsi" w:cstheme="minorHAnsi"/>
                                <w:color w:val="000000"/>
                                <w:sz w:val="22"/>
                                <w:szCs w:val="22"/>
                              </w:rPr>
                              <w:t xml:space="preserve"> pre-payment is to reduce operational cost and inefficiency in the </w:t>
                            </w:r>
                            <w:r>
                              <w:rPr>
                                <w:rStyle w:val="normaltextrun"/>
                                <w:rFonts w:asciiTheme="minorHAnsi" w:hAnsiTheme="minorHAnsi" w:cstheme="minorHAnsi"/>
                                <w:color w:val="000000"/>
                                <w:sz w:val="22"/>
                                <w:szCs w:val="22"/>
                              </w:rPr>
                              <w:t>payment handling process related to</w:t>
                            </w:r>
                            <w:r w:rsidRPr="00101040">
                              <w:rPr>
                                <w:rStyle w:val="normaltextrun"/>
                                <w:rFonts w:asciiTheme="minorHAnsi" w:hAnsiTheme="minorHAnsi" w:cstheme="minorHAnsi"/>
                                <w:color w:val="000000"/>
                                <w:sz w:val="22"/>
                                <w:szCs w:val="22"/>
                              </w:rPr>
                              <w:t xml:space="preserve"> overdue invoices, particularly for outstanding fees of low monetary value.</w:t>
                            </w:r>
                            <w:r>
                              <w:rPr>
                                <w:rStyle w:val="normaltextrun"/>
                                <w:rFonts w:asciiTheme="minorHAnsi" w:hAnsiTheme="minorHAnsi" w:cstheme="minorHAnsi"/>
                                <w:color w:val="000000"/>
                                <w:sz w:val="22"/>
                                <w:szCs w:val="22"/>
                              </w:rPr>
                              <w:t xml:space="preserve"> </w:t>
                            </w:r>
                            <w:r w:rsidRPr="00101040">
                              <w:rPr>
                                <w:rStyle w:val="normaltextrun"/>
                                <w:rFonts w:asciiTheme="minorHAnsi" w:hAnsiTheme="minorHAnsi" w:cstheme="minorHAnsi"/>
                                <w:color w:val="000000"/>
                                <w:sz w:val="22"/>
                                <w:szCs w:val="22"/>
                              </w:rPr>
                              <w:t>Pre-payment will only be possible by debit or credit card.</w:t>
                            </w:r>
                          </w:p>
                          <w:p w14:paraId="05371600" w14:textId="58A1E69C" w:rsidR="00B31430" w:rsidRDefault="00E24CCC" w:rsidP="00BF1370">
                            <w:pPr>
                              <w:jc w:val="both"/>
                              <w:rPr>
                                <w:lang w:val="en-GB"/>
                              </w:rPr>
                            </w:pPr>
                            <w:r w:rsidRPr="00754C0C">
                              <w:rPr>
                                <w:lang w:val="en-GB"/>
                              </w:rPr>
                              <w:t xml:space="preserve">A roadmap to transition to the same approach for OTC ISIN </w:t>
                            </w:r>
                            <w:r w:rsidR="00E87887">
                              <w:rPr>
                                <w:lang w:val="en-GB"/>
                              </w:rPr>
                              <w:t>u</w:t>
                            </w:r>
                            <w:r w:rsidRPr="00754C0C">
                              <w:rPr>
                                <w:lang w:val="en-GB"/>
                              </w:rPr>
                              <w:t xml:space="preserve">sers </w:t>
                            </w:r>
                            <w:r w:rsidRPr="00E268BA">
                              <w:rPr>
                                <w:lang w:val="en-GB"/>
                              </w:rPr>
                              <w:t xml:space="preserve">will be subject to further analysis and </w:t>
                            </w:r>
                            <w:r w:rsidR="007E7BF7">
                              <w:rPr>
                                <w:lang w:val="en-GB"/>
                              </w:rPr>
                              <w:t>stakeholder engagement</w:t>
                            </w:r>
                            <w:r w:rsidRPr="00E268BA">
                              <w:rPr>
                                <w:lang w:val="en-GB"/>
                              </w:rPr>
                              <w:t>.</w:t>
                            </w:r>
                          </w:p>
                          <w:p w14:paraId="5D96C95A" w14:textId="00A2EBA7" w:rsidR="007625FD" w:rsidRPr="00100676" w:rsidRDefault="007625FD" w:rsidP="00BF1370">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5a</w:t>
                            </w:r>
                            <w:r w:rsidRPr="0076032B">
                              <w:rPr>
                                <w:rStyle w:val="normaltextrun"/>
                                <w:rFonts w:cstheme="minorHAnsi"/>
                                <w:b/>
                                <w:bCs/>
                                <w:color w:val="000000"/>
                              </w:rPr>
                              <w:t>:</w:t>
                            </w:r>
                            <w:r>
                              <w:rPr>
                                <w:rStyle w:val="normaltextrun"/>
                                <w:rFonts w:cstheme="minorHAnsi"/>
                                <w:b/>
                                <w:bCs/>
                                <w:i/>
                                <w:iCs/>
                                <w:color w:val="000000"/>
                              </w:rPr>
                              <w:t xml:space="preserve"> D</w:t>
                            </w:r>
                            <w:r w:rsidRPr="00100676">
                              <w:rPr>
                                <w:rStyle w:val="normaltextrun"/>
                                <w:rFonts w:cstheme="minorHAnsi"/>
                                <w:b/>
                                <w:bCs/>
                                <w:i/>
                                <w:iCs/>
                                <w:color w:val="000000"/>
                              </w:rPr>
                              <w:t>o</w:t>
                            </w:r>
                            <w:r>
                              <w:rPr>
                                <w:rStyle w:val="normaltextrun"/>
                                <w:rFonts w:cstheme="minorHAnsi"/>
                                <w:b/>
                                <w:bCs/>
                                <w:i/>
                                <w:iCs/>
                                <w:color w:val="000000"/>
                              </w:rPr>
                              <w:t xml:space="preserve"> you agree that it is reasonable</w:t>
                            </w:r>
                            <w:r w:rsidRPr="00100676">
                              <w:rPr>
                                <w:rStyle w:val="normaltextrun"/>
                                <w:rFonts w:cstheme="minorHAnsi"/>
                                <w:b/>
                                <w:bCs/>
                                <w:i/>
                                <w:iCs/>
                                <w:color w:val="000000"/>
                              </w:rPr>
                              <w:t xml:space="preserve"> </w:t>
                            </w:r>
                            <w:r>
                              <w:rPr>
                                <w:rStyle w:val="normaltextrun"/>
                                <w:rFonts w:cstheme="minorHAnsi"/>
                                <w:b/>
                                <w:bCs/>
                                <w:i/>
                                <w:iCs/>
                                <w:color w:val="000000"/>
                              </w:rPr>
                              <w:t xml:space="preserve">for </w:t>
                            </w:r>
                            <w:r w:rsidRPr="00100676">
                              <w:rPr>
                                <w:rStyle w:val="normaltextrun"/>
                                <w:rFonts w:cstheme="minorHAnsi"/>
                                <w:b/>
                                <w:bCs/>
                                <w:i/>
                                <w:iCs/>
                                <w:color w:val="000000"/>
                              </w:rPr>
                              <w:t xml:space="preserve">pre-payment </w:t>
                            </w:r>
                            <w:r>
                              <w:rPr>
                                <w:rStyle w:val="normaltextrun"/>
                                <w:rFonts w:cstheme="minorHAnsi"/>
                                <w:b/>
                                <w:bCs/>
                                <w:i/>
                                <w:iCs/>
                                <w:color w:val="000000"/>
                              </w:rPr>
                              <w:t xml:space="preserve">by debit or credit card </w:t>
                            </w:r>
                            <w:r w:rsidRPr="00100676">
                              <w:rPr>
                                <w:rStyle w:val="normaltextrun"/>
                                <w:rFonts w:cstheme="minorHAnsi"/>
                                <w:b/>
                                <w:bCs/>
                                <w:i/>
                                <w:iCs/>
                                <w:color w:val="000000"/>
                              </w:rPr>
                              <w:t xml:space="preserve">for certain </w:t>
                            </w:r>
                            <w:r>
                              <w:rPr>
                                <w:rStyle w:val="normaltextrun"/>
                                <w:rFonts w:cstheme="minorHAnsi"/>
                                <w:b/>
                                <w:bCs/>
                                <w:i/>
                                <w:iCs/>
                                <w:color w:val="000000"/>
                              </w:rPr>
                              <w:t>User types to be mandated during the Onboarding process, to allow the DSB to achieve increased operational efficiency and reduce costs of payment handling?</w:t>
                            </w:r>
                          </w:p>
                          <w:p w14:paraId="7CB759BC" w14:textId="77777777" w:rsidR="007625FD" w:rsidRPr="00471A99" w:rsidRDefault="007625FD" w:rsidP="00BF1370">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5b: </w:t>
                            </w:r>
                            <w:r w:rsidRPr="001E2907">
                              <w:rPr>
                                <w:rStyle w:val="normaltextrun"/>
                                <w:rFonts w:cstheme="minorHAnsi"/>
                                <w:b/>
                                <w:i/>
                                <w:color w:val="000000"/>
                              </w:rPr>
                              <w:t>If not</w:t>
                            </w:r>
                            <w:r>
                              <w:rPr>
                                <w:rStyle w:val="normaltextrun"/>
                                <w:rFonts w:cstheme="minorHAnsi"/>
                                <w:b/>
                                <w:bCs/>
                                <w:i/>
                                <w:iCs/>
                                <w:color w:val="000000"/>
                              </w:rPr>
                              <w:t>, please articulate your concerns with clear rationale, and a specific alternate approach.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9CCD47" id="_x0000_s1031" type="#_x0000_t202" style="position:absolute;left:0;text-align:left;margin-left:3.05pt;margin-top:25.3pt;width:450.15pt;height:110.6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" strokecolor="#04aeb9">
                <v:textbox style="mso-fit-shape-to-text:t">
                  <w:txbxContent>
                    <w:p w14:paraId="164EDBFF"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6A5A93C9" w14:textId="19E99B17" w:rsidR="007625FD" w:rsidRDefault="007625FD" w:rsidP="00BF1370">
                      <w:pPr>
                        <w:pStyle w:val="paragraph"/>
                        <w:spacing w:before="240" w:beforeAutospacing="0" w:after="120" w:afterAutospacing="0" w:line="276" w:lineRule="auto"/>
                        <w:jc w:val="both"/>
                        <w:textAlignment w:val="baseline"/>
                        <w:rPr>
                          <w:rStyle w:val="normaltextrun"/>
                          <w:rFonts w:asciiTheme="minorHAnsi" w:hAnsiTheme="minorHAnsi" w:cstheme="minorHAnsi"/>
                          <w:color w:val="000000"/>
                          <w:sz w:val="22"/>
                          <w:szCs w:val="22"/>
                        </w:rPr>
                      </w:pPr>
                      <w:r w:rsidRPr="00101040">
                        <w:rPr>
                          <w:rStyle w:val="normaltextrun"/>
                          <w:rFonts w:asciiTheme="minorHAnsi" w:hAnsiTheme="minorHAnsi" w:cstheme="minorHAnsi"/>
                          <w:color w:val="000000"/>
                          <w:sz w:val="22"/>
                          <w:szCs w:val="22"/>
                        </w:rPr>
                        <w:t xml:space="preserve">Within the </w:t>
                      </w:r>
                      <w:r>
                        <w:rPr>
                          <w:rStyle w:val="normaltextrun"/>
                          <w:rFonts w:asciiTheme="minorHAnsi" w:hAnsiTheme="minorHAnsi" w:cstheme="minorHAnsi"/>
                          <w:color w:val="000000"/>
                          <w:sz w:val="22"/>
                          <w:szCs w:val="22"/>
                        </w:rPr>
                        <w:t xml:space="preserve">existing </w:t>
                      </w:r>
                      <w:r w:rsidRPr="00101040">
                        <w:rPr>
                          <w:rStyle w:val="normaltextrun"/>
                          <w:rFonts w:asciiTheme="minorHAnsi" w:hAnsiTheme="minorHAnsi" w:cstheme="minorHAnsi"/>
                          <w:color w:val="000000"/>
                          <w:sz w:val="22"/>
                          <w:szCs w:val="22"/>
                        </w:rPr>
                        <w:t xml:space="preserve">payment in advance principle, the DSB also intends to introduce online pre-payment for the </w:t>
                      </w:r>
                      <w:r w:rsidR="00F07F21">
                        <w:rPr>
                          <w:rStyle w:val="normaltextrun"/>
                          <w:rFonts w:asciiTheme="minorHAnsi" w:hAnsiTheme="minorHAnsi" w:cstheme="minorHAnsi"/>
                          <w:color w:val="000000"/>
                          <w:sz w:val="22"/>
                          <w:szCs w:val="22"/>
                        </w:rPr>
                        <w:t>UPI Service</w:t>
                      </w:r>
                      <w:r>
                        <w:rPr>
                          <w:rStyle w:val="normaltextrun"/>
                          <w:rFonts w:asciiTheme="minorHAnsi" w:hAnsiTheme="minorHAnsi" w:cstheme="minorHAnsi"/>
                          <w:color w:val="000000"/>
                          <w:sz w:val="22"/>
                          <w:szCs w:val="22"/>
                        </w:rPr>
                        <w:t xml:space="preserve"> for certain UPI User Types (based on </w:t>
                      </w:r>
                      <w:r w:rsidRPr="00101040">
                        <w:rPr>
                          <w:rStyle w:val="normaltextrun"/>
                          <w:rFonts w:asciiTheme="minorHAnsi" w:hAnsiTheme="minorHAnsi" w:cstheme="minorHAnsi"/>
                          <w:color w:val="000000"/>
                          <w:sz w:val="22"/>
                          <w:szCs w:val="22"/>
                        </w:rPr>
                        <w:t>the associated fee levels</w:t>
                      </w:r>
                      <w:r>
                        <w:rPr>
                          <w:rStyle w:val="normaltextrun"/>
                          <w:rFonts w:asciiTheme="minorHAnsi" w:hAnsiTheme="minorHAnsi" w:cstheme="minorHAnsi"/>
                          <w:color w:val="000000"/>
                          <w:sz w:val="22"/>
                          <w:szCs w:val="22"/>
                        </w:rPr>
                        <w:t>)</w:t>
                      </w:r>
                      <w:r w:rsidR="002A529D">
                        <w:rPr>
                          <w:rStyle w:val="normaltextrun"/>
                          <w:rFonts w:asciiTheme="minorHAnsi" w:hAnsiTheme="minorHAnsi" w:cstheme="minorHAnsi"/>
                          <w:color w:val="000000"/>
                          <w:sz w:val="22"/>
                          <w:szCs w:val="22"/>
                        </w:rPr>
                        <w:t xml:space="preserve">. </w:t>
                      </w:r>
                    </w:p>
                    <w:p w14:paraId="2FE4712B" w14:textId="77777777" w:rsidR="007625FD" w:rsidRDefault="007625FD" w:rsidP="00BF1370">
                      <w:pPr>
                        <w:pStyle w:val="paragraph"/>
                        <w:spacing w:before="240" w:after="120" w:line="276" w:lineRule="auto"/>
                        <w:jc w:val="both"/>
                        <w:textAlignment w:val="baseline"/>
                        <w:rPr>
                          <w:rStyle w:val="normaltextrun"/>
                          <w:rFonts w:asciiTheme="minorHAnsi" w:hAnsiTheme="minorHAnsi" w:cstheme="minorHAnsi"/>
                          <w:color w:val="000000"/>
                          <w:sz w:val="22"/>
                          <w:szCs w:val="22"/>
                        </w:rPr>
                      </w:pPr>
                      <w:r w:rsidRPr="00101040">
                        <w:rPr>
                          <w:rStyle w:val="normaltextrun"/>
                          <w:rFonts w:asciiTheme="minorHAnsi" w:hAnsiTheme="minorHAnsi" w:cstheme="minorHAnsi"/>
                          <w:color w:val="000000"/>
                          <w:sz w:val="22"/>
                          <w:szCs w:val="22"/>
                        </w:rPr>
                        <w:t xml:space="preserve">The key driver for </w:t>
                      </w:r>
                      <w:r>
                        <w:rPr>
                          <w:rStyle w:val="normaltextrun"/>
                          <w:rFonts w:asciiTheme="minorHAnsi" w:hAnsiTheme="minorHAnsi" w:cstheme="minorHAnsi"/>
                          <w:color w:val="000000"/>
                          <w:sz w:val="22"/>
                          <w:szCs w:val="22"/>
                        </w:rPr>
                        <w:t>introducing</w:t>
                      </w:r>
                      <w:r w:rsidRPr="00101040">
                        <w:rPr>
                          <w:rStyle w:val="normaltextrun"/>
                          <w:rFonts w:asciiTheme="minorHAnsi" w:hAnsiTheme="minorHAnsi" w:cstheme="minorHAnsi"/>
                          <w:color w:val="000000"/>
                          <w:sz w:val="22"/>
                          <w:szCs w:val="22"/>
                        </w:rPr>
                        <w:t xml:space="preserve"> pre-payment is to reduce operational cost and inefficiency in the </w:t>
                      </w:r>
                      <w:r>
                        <w:rPr>
                          <w:rStyle w:val="normaltextrun"/>
                          <w:rFonts w:asciiTheme="minorHAnsi" w:hAnsiTheme="minorHAnsi" w:cstheme="minorHAnsi"/>
                          <w:color w:val="000000"/>
                          <w:sz w:val="22"/>
                          <w:szCs w:val="22"/>
                        </w:rPr>
                        <w:t>payment handling process related to</w:t>
                      </w:r>
                      <w:r w:rsidRPr="00101040">
                        <w:rPr>
                          <w:rStyle w:val="normaltextrun"/>
                          <w:rFonts w:asciiTheme="minorHAnsi" w:hAnsiTheme="minorHAnsi" w:cstheme="minorHAnsi"/>
                          <w:color w:val="000000"/>
                          <w:sz w:val="22"/>
                          <w:szCs w:val="22"/>
                        </w:rPr>
                        <w:t xml:space="preserve"> overdue invoices, particularly for outstanding fees of low monetary value.</w:t>
                      </w:r>
                      <w:r>
                        <w:rPr>
                          <w:rStyle w:val="normaltextrun"/>
                          <w:rFonts w:asciiTheme="minorHAnsi" w:hAnsiTheme="minorHAnsi" w:cstheme="minorHAnsi"/>
                          <w:color w:val="000000"/>
                          <w:sz w:val="22"/>
                          <w:szCs w:val="22"/>
                        </w:rPr>
                        <w:t xml:space="preserve"> </w:t>
                      </w:r>
                      <w:r w:rsidRPr="00101040">
                        <w:rPr>
                          <w:rStyle w:val="normaltextrun"/>
                          <w:rFonts w:asciiTheme="minorHAnsi" w:hAnsiTheme="minorHAnsi" w:cstheme="minorHAnsi"/>
                          <w:color w:val="000000"/>
                          <w:sz w:val="22"/>
                          <w:szCs w:val="22"/>
                        </w:rPr>
                        <w:t>Pre-payment will only be possible by debit or credit card.</w:t>
                      </w:r>
                    </w:p>
                    <w:p w14:paraId="05371600" w14:textId="58A1E69C" w:rsidR="00B31430" w:rsidRDefault="00E24CCC" w:rsidP="00BF1370">
                      <w:pPr>
                        <w:jc w:val="both"/>
                        <w:rPr>
                          <w:lang w:val="en-GB"/>
                        </w:rPr>
                      </w:pPr>
                      <w:r w:rsidRPr="00754C0C">
                        <w:rPr>
                          <w:lang w:val="en-GB"/>
                        </w:rPr>
                        <w:t xml:space="preserve">A roadmap to transition to the same approach for OTC ISIN </w:t>
                      </w:r>
                      <w:r w:rsidR="00E87887">
                        <w:rPr>
                          <w:lang w:val="en-GB"/>
                        </w:rPr>
                        <w:t>u</w:t>
                      </w:r>
                      <w:r w:rsidRPr="00754C0C">
                        <w:rPr>
                          <w:lang w:val="en-GB"/>
                        </w:rPr>
                        <w:t xml:space="preserve">sers </w:t>
                      </w:r>
                      <w:r w:rsidRPr="00E268BA">
                        <w:rPr>
                          <w:lang w:val="en-GB"/>
                        </w:rPr>
                        <w:t xml:space="preserve">will be subject to further analysis and </w:t>
                      </w:r>
                      <w:r w:rsidR="007E7BF7">
                        <w:rPr>
                          <w:lang w:val="en-GB"/>
                        </w:rPr>
                        <w:t>stakeholder engagement</w:t>
                      </w:r>
                      <w:r w:rsidRPr="00E268BA">
                        <w:rPr>
                          <w:lang w:val="en-GB"/>
                        </w:rPr>
                        <w:t>.</w:t>
                      </w:r>
                    </w:p>
                    <w:p w14:paraId="5D96C95A" w14:textId="00A2EBA7" w:rsidR="007625FD" w:rsidRPr="00100676" w:rsidRDefault="007625FD" w:rsidP="00BF1370">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5a</w:t>
                      </w:r>
                      <w:r w:rsidRPr="0076032B">
                        <w:rPr>
                          <w:rStyle w:val="normaltextrun"/>
                          <w:rFonts w:cstheme="minorHAnsi"/>
                          <w:b/>
                          <w:bCs/>
                          <w:color w:val="000000"/>
                        </w:rPr>
                        <w:t>:</w:t>
                      </w:r>
                      <w:r>
                        <w:rPr>
                          <w:rStyle w:val="normaltextrun"/>
                          <w:rFonts w:cstheme="minorHAnsi"/>
                          <w:b/>
                          <w:bCs/>
                          <w:i/>
                          <w:iCs/>
                          <w:color w:val="000000"/>
                        </w:rPr>
                        <w:t xml:space="preserve"> D</w:t>
                      </w:r>
                      <w:r w:rsidRPr="00100676">
                        <w:rPr>
                          <w:rStyle w:val="normaltextrun"/>
                          <w:rFonts w:cstheme="minorHAnsi"/>
                          <w:b/>
                          <w:bCs/>
                          <w:i/>
                          <w:iCs/>
                          <w:color w:val="000000"/>
                        </w:rPr>
                        <w:t>o</w:t>
                      </w:r>
                      <w:r>
                        <w:rPr>
                          <w:rStyle w:val="normaltextrun"/>
                          <w:rFonts w:cstheme="minorHAnsi"/>
                          <w:b/>
                          <w:bCs/>
                          <w:i/>
                          <w:iCs/>
                          <w:color w:val="000000"/>
                        </w:rPr>
                        <w:t xml:space="preserve"> you agree that it is reasonable</w:t>
                      </w:r>
                      <w:r w:rsidRPr="00100676">
                        <w:rPr>
                          <w:rStyle w:val="normaltextrun"/>
                          <w:rFonts w:cstheme="minorHAnsi"/>
                          <w:b/>
                          <w:bCs/>
                          <w:i/>
                          <w:iCs/>
                          <w:color w:val="000000"/>
                        </w:rPr>
                        <w:t xml:space="preserve"> </w:t>
                      </w:r>
                      <w:r>
                        <w:rPr>
                          <w:rStyle w:val="normaltextrun"/>
                          <w:rFonts w:cstheme="minorHAnsi"/>
                          <w:b/>
                          <w:bCs/>
                          <w:i/>
                          <w:iCs/>
                          <w:color w:val="000000"/>
                        </w:rPr>
                        <w:t xml:space="preserve">for </w:t>
                      </w:r>
                      <w:r w:rsidRPr="00100676">
                        <w:rPr>
                          <w:rStyle w:val="normaltextrun"/>
                          <w:rFonts w:cstheme="minorHAnsi"/>
                          <w:b/>
                          <w:bCs/>
                          <w:i/>
                          <w:iCs/>
                          <w:color w:val="000000"/>
                        </w:rPr>
                        <w:t xml:space="preserve">pre-payment </w:t>
                      </w:r>
                      <w:r>
                        <w:rPr>
                          <w:rStyle w:val="normaltextrun"/>
                          <w:rFonts w:cstheme="minorHAnsi"/>
                          <w:b/>
                          <w:bCs/>
                          <w:i/>
                          <w:iCs/>
                          <w:color w:val="000000"/>
                        </w:rPr>
                        <w:t xml:space="preserve">by debit or credit card </w:t>
                      </w:r>
                      <w:r w:rsidRPr="00100676">
                        <w:rPr>
                          <w:rStyle w:val="normaltextrun"/>
                          <w:rFonts w:cstheme="minorHAnsi"/>
                          <w:b/>
                          <w:bCs/>
                          <w:i/>
                          <w:iCs/>
                          <w:color w:val="000000"/>
                        </w:rPr>
                        <w:t xml:space="preserve">for certain </w:t>
                      </w:r>
                      <w:r>
                        <w:rPr>
                          <w:rStyle w:val="normaltextrun"/>
                          <w:rFonts w:cstheme="minorHAnsi"/>
                          <w:b/>
                          <w:bCs/>
                          <w:i/>
                          <w:iCs/>
                          <w:color w:val="000000"/>
                        </w:rPr>
                        <w:t>User types to be mandated during the Onboarding process, to allow the DSB to achieve increased operational efficiency and reduce costs of payment handling?</w:t>
                      </w:r>
                    </w:p>
                    <w:p w14:paraId="7CB759BC" w14:textId="77777777" w:rsidR="007625FD" w:rsidRPr="00471A99" w:rsidRDefault="007625FD" w:rsidP="00BF1370">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5b: </w:t>
                      </w:r>
                      <w:r w:rsidRPr="001E2907">
                        <w:rPr>
                          <w:rStyle w:val="normaltextrun"/>
                          <w:rFonts w:cstheme="minorHAnsi"/>
                          <w:b/>
                          <w:i/>
                          <w:color w:val="000000"/>
                        </w:rPr>
                        <w:t>If not</w:t>
                      </w:r>
                      <w:r>
                        <w:rPr>
                          <w:rStyle w:val="normaltextrun"/>
                          <w:rFonts w:cstheme="minorHAnsi"/>
                          <w:b/>
                          <w:bCs/>
                          <w:i/>
                          <w:iCs/>
                          <w:color w:val="000000"/>
                        </w:rPr>
                        <w:t>, please articulate your concerns with clear rationale, and a specific alternate approach.</w:t>
                      </w:r>
                    </w:p>
                  </w:txbxContent>
                </v:textbox>
                <w10:wrap type="square" anchorx="margin"/>
              </v:shape>
            </w:pict>
          </mc:Fallback>
        </mc:AlternateContent>
      </w:r>
      <w:r>
        <w:t>Q5 - Pr</w:t>
      </w:r>
      <w:r w:rsidRPr="00203651">
        <w:t>e-payment</w:t>
      </w:r>
      <w:bookmarkEnd w:id="85"/>
      <w:r w:rsidRPr="00203651">
        <w:t xml:space="preserve"> </w:t>
      </w:r>
      <w:bookmarkEnd w:id="82"/>
      <w:bookmarkEnd w:id="83"/>
      <w:bookmarkEnd w:id="84"/>
    </w:p>
    <w:p w14:paraId="7E36411F" w14:textId="77777777" w:rsidR="007625FD" w:rsidRDefault="007625FD" w:rsidP="007625FD">
      <w:pPr>
        <w:jc w:val="both"/>
        <w:rPr>
          <w:b/>
          <w:bCs/>
          <w:u w:val="single"/>
        </w:rPr>
      </w:pPr>
      <w:r w:rsidRPr="00623841">
        <w:rPr>
          <w:b/>
          <w:bCs/>
          <w:u w:val="single"/>
        </w:rPr>
        <w:t>Supporting Information:</w:t>
      </w:r>
    </w:p>
    <w:p w14:paraId="026D2D7D" w14:textId="77777777" w:rsidR="007625FD" w:rsidRDefault="007625FD" w:rsidP="00BF1370">
      <w:pPr>
        <w:jc w:val="both"/>
        <w:rPr>
          <w:lang w:val="en-GB"/>
        </w:rPr>
      </w:pPr>
      <w:r w:rsidRPr="00F208DD">
        <w:rPr>
          <w:lang w:val="en-GB"/>
        </w:rPr>
        <w:t xml:space="preserve">The DSB currently operates </w:t>
      </w:r>
      <w:r>
        <w:rPr>
          <w:lang w:val="en-GB"/>
        </w:rPr>
        <w:t>under the principle of</w:t>
      </w:r>
      <w:r w:rsidRPr="00F208DD">
        <w:rPr>
          <w:lang w:val="en-GB"/>
        </w:rPr>
        <w:t xml:space="preserve"> </w:t>
      </w:r>
      <w:r>
        <w:rPr>
          <w:lang w:val="en-GB"/>
        </w:rPr>
        <w:t>p</w:t>
      </w:r>
      <w:r w:rsidRPr="00F208DD">
        <w:rPr>
          <w:lang w:val="en-GB"/>
        </w:rPr>
        <w:t xml:space="preserve">ayment in </w:t>
      </w:r>
      <w:r>
        <w:rPr>
          <w:lang w:val="en-GB"/>
        </w:rPr>
        <w:t>a</w:t>
      </w:r>
      <w:r w:rsidRPr="00F208DD">
        <w:rPr>
          <w:lang w:val="en-GB"/>
        </w:rPr>
        <w:t xml:space="preserve">dvance </w:t>
      </w:r>
      <w:r>
        <w:rPr>
          <w:lang w:val="en-GB"/>
        </w:rPr>
        <w:t>and will follow the same approach for the UPI Service</w:t>
      </w:r>
      <w:r w:rsidRPr="00F208DD">
        <w:rPr>
          <w:lang w:val="en-GB"/>
        </w:rPr>
        <w:t>. This means</w:t>
      </w:r>
      <w:r>
        <w:rPr>
          <w:lang w:val="en-GB"/>
        </w:rPr>
        <w:t>,</w:t>
      </w:r>
      <w:r w:rsidRPr="00F208DD" w:rsidDel="00934440">
        <w:rPr>
          <w:lang w:val="en-GB"/>
        </w:rPr>
        <w:t xml:space="preserve"> </w:t>
      </w:r>
      <w:r>
        <w:rPr>
          <w:lang w:val="en-GB"/>
        </w:rPr>
        <w:t>t</w:t>
      </w:r>
      <w:r w:rsidRPr="00F801A3">
        <w:rPr>
          <w:lang w:val="en-GB"/>
        </w:rPr>
        <w:t>o the extent possible, the DSB will levy fees through annual contracts that require</w:t>
      </w:r>
      <w:r>
        <w:rPr>
          <w:lang w:val="en-GB"/>
        </w:rPr>
        <w:t xml:space="preserve"> </w:t>
      </w:r>
      <w:r w:rsidRPr="00F801A3">
        <w:rPr>
          <w:lang w:val="en-GB"/>
        </w:rPr>
        <w:t>payment in advance.</w:t>
      </w:r>
      <w:r>
        <w:rPr>
          <w:lang w:val="en-GB"/>
        </w:rPr>
        <w:t xml:space="preserve"> </w:t>
      </w:r>
      <w:r w:rsidRPr="00F801A3">
        <w:rPr>
          <w:lang w:val="en-GB"/>
        </w:rPr>
        <w:t>This advance yearly commitment offers the DSB more clarity in aligning fee levels</w:t>
      </w:r>
      <w:r>
        <w:rPr>
          <w:lang w:val="en-GB"/>
        </w:rPr>
        <w:t xml:space="preserve"> </w:t>
      </w:r>
      <w:r w:rsidRPr="00F801A3">
        <w:rPr>
          <w:lang w:val="en-GB"/>
        </w:rPr>
        <w:t>with cost recovery.</w:t>
      </w:r>
      <w:r>
        <w:rPr>
          <w:lang w:val="en-GB"/>
        </w:rPr>
        <w:t xml:space="preserve"> </w:t>
      </w:r>
      <w:r w:rsidRPr="00F801A3">
        <w:rPr>
          <w:lang w:val="en-GB"/>
        </w:rPr>
        <w:t xml:space="preserve">For the </w:t>
      </w:r>
      <w:r>
        <w:rPr>
          <w:lang w:val="en-GB"/>
        </w:rPr>
        <w:t>User</w:t>
      </w:r>
      <w:r w:rsidRPr="00F801A3">
        <w:rPr>
          <w:lang w:val="en-GB"/>
        </w:rPr>
        <w:t xml:space="preserve">s, it provides improved ability to forecast their costs for utilising </w:t>
      </w:r>
      <w:r>
        <w:rPr>
          <w:lang w:val="en-GB"/>
        </w:rPr>
        <w:t xml:space="preserve">DSB </w:t>
      </w:r>
      <w:r w:rsidRPr="00F801A3">
        <w:rPr>
          <w:lang w:val="en-GB"/>
        </w:rPr>
        <w:t>services.</w:t>
      </w:r>
    </w:p>
    <w:p w14:paraId="3176C531" w14:textId="77777777" w:rsidR="007625FD" w:rsidRPr="00C30A11" w:rsidRDefault="007625FD" w:rsidP="00BF1370">
      <w:pPr>
        <w:jc w:val="both"/>
        <w:rPr>
          <w:b/>
          <w:bCs/>
          <w:lang w:val="en-GB"/>
        </w:rPr>
      </w:pPr>
      <w:r>
        <w:rPr>
          <w:lang w:val="en-GB"/>
        </w:rPr>
        <w:t xml:space="preserve">Experience with the OTC ISIN Service has highlighted that significant effort and resource is associated with collection of payment for invoices of </w:t>
      </w:r>
      <w:r w:rsidRPr="00101040">
        <w:rPr>
          <w:rStyle w:val="normaltextrun"/>
          <w:rFonts w:cstheme="minorHAnsi"/>
          <w:color w:val="000000"/>
        </w:rPr>
        <w:t>low monetary value</w:t>
      </w:r>
      <w:r>
        <w:rPr>
          <w:rStyle w:val="normaltextrun"/>
          <w:rFonts w:cstheme="minorHAnsi"/>
          <w:color w:val="000000"/>
        </w:rPr>
        <w:t>. Given the anticipated increase in user numbers for the UPI Service, and the aim to maintain Lean operations as specified in the Governance Criteria, the DSB is aiming to mitigate the need for payment handling of this nature.</w:t>
      </w:r>
    </w:p>
    <w:p w14:paraId="3477A5CC" w14:textId="77777777" w:rsidR="007625FD" w:rsidRPr="00C30A11" w:rsidRDefault="007625FD" w:rsidP="00BF1370">
      <w:pPr>
        <w:jc w:val="both"/>
        <w:rPr>
          <w:b/>
          <w:bCs/>
          <w:u w:val="single"/>
          <w:lang w:val="en-GB"/>
        </w:rPr>
      </w:pPr>
      <w:r w:rsidRPr="00C30A11">
        <w:rPr>
          <w:b/>
          <w:bCs/>
          <w:u w:val="single"/>
          <w:lang w:val="en-GB"/>
        </w:rPr>
        <w:t>DSB Proposal:</w:t>
      </w:r>
    </w:p>
    <w:p w14:paraId="6D20480A" w14:textId="61132A5A" w:rsidR="007625FD" w:rsidRDefault="007625FD" w:rsidP="00BF1370">
      <w:pPr>
        <w:jc w:val="both"/>
        <w:rPr>
          <w:lang w:val="en-GB"/>
        </w:rPr>
      </w:pPr>
      <w:r w:rsidRPr="00F208DD">
        <w:rPr>
          <w:lang w:val="en-GB"/>
        </w:rPr>
        <w:t xml:space="preserve">Within the </w:t>
      </w:r>
      <w:r>
        <w:rPr>
          <w:lang w:val="en-GB"/>
        </w:rPr>
        <w:t>p</w:t>
      </w:r>
      <w:r w:rsidRPr="00F208DD">
        <w:rPr>
          <w:lang w:val="en-GB"/>
        </w:rPr>
        <w:t xml:space="preserve">ayment in </w:t>
      </w:r>
      <w:r>
        <w:rPr>
          <w:lang w:val="en-GB"/>
        </w:rPr>
        <w:t>a</w:t>
      </w:r>
      <w:r w:rsidRPr="00F208DD">
        <w:rPr>
          <w:lang w:val="en-GB"/>
        </w:rPr>
        <w:t xml:space="preserve">dvance principle, depending on the UPI </w:t>
      </w:r>
      <w:r>
        <w:rPr>
          <w:lang w:val="en-GB"/>
        </w:rPr>
        <w:t>User Type</w:t>
      </w:r>
      <w:r w:rsidRPr="00F208DD">
        <w:rPr>
          <w:lang w:val="en-GB"/>
        </w:rPr>
        <w:t>(s) to which the client wishes to subscribe and the associated fee levels, the DSB also intends to introduce online pre-payment</w:t>
      </w:r>
      <w:r>
        <w:rPr>
          <w:lang w:val="en-GB"/>
        </w:rPr>
        <w:t xml:space="preserve"> for the </w:t>
      </w:r>
      <w:r w:rsidR="00F07F21">
        <w:rPr>
          <w:lang w:val="en-GB"/>
        </w:rPr>
        <w:t>UPI Service</w:t>
      </w:r>
      <w:r>
        <w:rPr>
          <w:lang w:val="en-GB"/>
        </w:rPr>
        <w:t>.</w:t>
      </w:r>
    </w:p>
    <w:p w14:paraId="0A78AC09" w14:textId="5DF284D2" w:rsidR="007625FD" w:rsidRDefault="007625FD" w:rsidP="00BF1370">
      <w:pPr>
        <w:jc w:val="both"/>
        <w:rPr>
          <w:lang w:val="en-GB"/>
        </w:rPr>
      </w:pPr>
      <w:r>
        <w:rPr>
          <w:lang w:val="en-GB"/>
        </w:rPr>
        <w:t>Where pre-payment is required, a</w:t>
      </w:r>
      <w:r w:rsidRPr="00F208DD">
        <w:rPr>
          <w:lang w:val="en-GB"/>
        </w:rPr>
        <w:t xml:space="preserve">n invoice will be presented online, and the </w:t>
      </w:r>
      <w:r w:rsidR="00F07F21">
        <w:rPr>
          <w:lang w:val="en-GB"/>
        </w:rPr>
        <w:t>UPI Service</w:t>
      </w:r>
      <w:r w:rsidRPr="00F208DD">
        <w:rPr>
          <w:lang w:val="en-GB"/>
        </w:rPr>
        <w:t xml:space="preserve"> will be activated in the Production system once pre-payment has been made. Pre-payment is not required for usage of the </w:t>
      </w:r>
      <w:r w:rsidR="00F07F21">
        <w:rPr>
          <w:lang w:val="en-GB"/>
        </w:rPr>
        <w:t>UPI Service</w:t>
      </w:r>
      <w:r w:rsidRPr="00F208DD">
        <w:rPr>
          <w:lang w:val="en-GB"/>
        </w:rPr>
        <w:t xml:space="preserve"> in the UAT environment (notwithstanding the restrictions on connecting to UAT programmatically free-of-charge for 3 months only).</w:t>
      </w:r>
    </w:p>
    <w:p w14:paraId="526C873F" w14:textId="77777777" w:rsidR="007625FD" w:rsidRDefault="007625FD" w:rsidP="00BF1370">
      <w:pPr>
        <w:jc w:val="both"/>
        <w:rPr>
          <w:lang w:val="en-GB"/>
        </w:rPr>
      </w:pPr>
      <w:bookmarkStart w:id="86" w:name="_Hlk83884152"/>
      <w:r w:rsidRPr="00F208DD">
        <w:rPr>
          <w:lang w:val="en-GB"/>
        </w:rPr>
        <w:lastRenderedPageBreak/>
        <w:t>The key driver for this move to pre-payment is to reduce operational cost and inefficiency in the chasing of overdue invoices, particularly for outstanding fees of low monetary value.</w:t>
      </w:r>
    </w:p>
    <w:p w14:paraId="288D5BA6" w14:textId="77777777" w:rsidR="007625FD" w:rsidRPr="00F208DD" w:rsidRDefault="007625FD" w:rsidP="00BF1370">
      <w:pPr>
        <w:jc w:val="both"/>
        <w:rPr>
          <w:lang w:val="en-GB"/>
        </w:rPr>
      </w:pPr>
      <w:r>
        <w:rPr>
          <w:lang w:val="en-GB"/>
        </w:rPr>
        <w:t xml:space="preserve">Pre-payment will only be possible by debit or credit card. </w:t>
      </w:r>
      <w:bookmarkEnd w:id="86"/>
      <w:r>
        <w:rPr>
          <w:lang w:val="en-GB"/>
        </w:rPr>
        <w:t>Pre-payment methods other than debit or credit card (e.g., bank transfer) results in considerable administrative overhead to match payments, which would incur additional cost of administrative support.</w:t>
      </w:r>
    </w:p>
    <w:p w14:paraId="2497DB47" w14:textId="2B18E114" w:rsidR="007625FD" w:rsidRDefault="00E87887" w:rsidP="00BF1370">
      <w:pPr>
        <w:jc w:val="both"/>
        <w:rPr>
          <w:lang w:val="en-GB"/>
        </w:rPr>
      </w:pPr>
      <w:r w:rsidRPr="00754C0C">
        <w:rPr>
          <w:lang w:val="en-GB"/>
        </w:rPr>
        <w:t xml:space="preserve">A roadmap to transition to the same approach for OTC ISIN </w:t>
      </w:r>
      <w:r>
        <w:rPr>
          <w:lang w:val="en-GB"/>
        </w:rPr>
        <w:t>u</w:t>
      </w:r>
      <w:r w:rsidRPr="00754C0C">
        <w:rPr>
          <w:lang w:val="en-GB"/>
        </w:rPr>
        <w:t xml:space="preserve">sers </w:t>
      </w:r>
      <w:r w:rsidRPr="00E268BA">
        <w:rPr>
          <w:lang w:val="en-GB"/>
        </w:rPr>
        <w:t xml:space="preserve">will be subject to further analysis and </w:t>
      </w:r>
      <w:r w:rsidR="007E7BF7">
        <w:rPr>
          <w:lang w:val="en-GB"/>
        </w:rPr>
        <w:t>stakeholder en</w:t>
      </w:r>
      <w:r w:rsidR="006900B6">
        <w:rPr>
          <w:lang w:val="en-GB"/>
        </w:rPr>
        <w:t>gagement</w:t>
      </w:r>
      <w:r w:rsidRPr="00E268BA">
        <w:rPr>
          <w:lang w:val="en-GB"/>
        </w:rPr>
        <w:t>.</w:t>
      </w:r>
      <w:r>
        <w:rPr>
          <w:lang w:val="en-GB"/>
        </w:rPr>
        <w:t xml:space="preserve"> </w:t>
      </w:r>
      <w:r w:rsidR="007625FD" w:rsidRPr="00F208DD">
        <w:rPr>
          <w:lang w:val="en-GB"/>
        </w:rPr>
        <w:t xml:space="preserve">For UPI </w:t>
      </w:r>
      <w:r w:rsidR="007625FD">
        <w:rPr>
          <w:lang w:val="en-GB"/>
        </w:rPr>
        <w:t>User Type</w:t>
      </w:r>
      <w:r w:rsidR="007625FD" w:rsidRPr="00F208DD">
        <w:rPr>
          <w:lang w:val="en-GB"/>
        </w:rPr>
        <w:t xml:space="preserve">(s), indicatively where the associated fee level is higher, the existing ISIN process of invoice issuance 14 days after signature of the Access </w:t>
      </w:r>
      <w:r w:rsidR="00992458">
        <w:rPr>
          <w:lang w:val="en-GB"/>
        </w:rPr>
        <w:t>and</w:t>
      </w:r>
      <w:r w:rsidR="00992458" w:rsidRPr="00F208DD">
        <w:rPr>
          <w:lang w:val="en-GB"/>
        </w:rPr>
        <w:t xml:space="preserve"> </w:t>
      </w:r>
      <w:r w:rsidR="007625FD" w:rsidRPr="00F208DD">
        <w:rPr>
          <w:lang w:val="en-GB"/>
        </w:rPr>
        <w:t>Usage agreement will be maintained - both at the point of onboarding</w:t>
      </w:r>
      <w:r w:rsidR="007625FD">
        <w:rPr>
          <w:lang w:val="en-GB"/>
        </w:rPr>
        <w:t>,</w:t>
      </w:r>
      <w:r w:rsidR="007625FD" w:rsidRPr="00F208DD">
        <w:rPr>
          <w:lang w:val="en-GB"/>
        </w:rPr>
        <w:t xml:space="preserve"> and at </w:t>
      </w:r>
      <w:r w:rsidR="007625FD" w:rsidRPr="005452BF">
        <w:rPr>
          <w:lang w:val="en-GB"/>
        </w:rPr>
        <w:t>renewal. At</w:t>
      </w:r>
      <w:r w:rsidR="007625FD">
        <w:rPr>
          <w:lang w:val="en-GB"/>
        </w:rPr>
        <w:t xml:space="preserve"> the point of onboarding, c</w:t>
      </w:r>
      <w:r w:rsidR="007625FD" w:rsidRPr="00F208DD">
        <w:rPr>
          <w:lang w:val="en-GB"/>
        </w:rPr>
        <w:t>lients subject to this billing mechanism will be required to provide their billing details via</w:t>
      </w:r>
      <w:r w:rsidR="007625FD">
        <w:rPr>
          <w:lang w:val="en-GB"/>
        </w:rPr>
        <w:t xml:space="preserve"> the</w:t>
      </w:r>
      <w:r w:rsidR="007625FD" w:rsidRPr="00F208DD">
        <w:rPr>
          <w:lang w:val="en-GB"/>
        </w:rPr>
        <w:t xml:space="preserve"> </w:t>
      </w:r>
      <w:r w:rsidR="007625FD">
        <w:rPr>
          <w:lang w:val="en-GB"/>
        </w:rPr>
        <w:t>COSP</w:t>
      </w:r>
      <w:r w:rsidR="007625FD" w:rsidRPr="00F208DD">
        <w:rPr>
          <w:lang w:val="en-GB"/>
        </w:rPr>
        <w:t xml:space="preserve"> before the service is activated</w:t>
      </w:r>
      <w:r w:rsidR="007625FD">
        <w:rPr>
          <w:lang w:val="en-GB"/>
        </w:rPr>
        <w:t>. Payment of the invoice can follow service activation, within the standard 30-day payment terms.</w:t>
      </w:r>
    </w:p>
    <w:p w14:paraId="70C3F840" w14:textId="58DC15AB" w:rsidR="007625FD" w:rsidRDefault="007625FD" w:rsidP="00BF1370">
      <w:pPr>
        <w:jc w:val="both"/>
        <w:rPr>
          <w:lang w:val="en-GB"/>
        </w:rPr>
      </w:pPr>
      <w:r>
        <w:rPr>
          <w:lang w:val="en-GB"/>
        </w:rPr>
        <w:t xml:space="preserve">This approach will apply to the </w:t>
      </w:r>
      <w:r w:rsidR="00F07F21">
        <w:rPr>
          <w:lang w:val="en-GB"/>
        </w:rPr>
        <w:t>UPI Service</w:t>
      </w:r>
      <w:r>
        <w:rPr>
          <w:lang w:val="en-GB"/>
        </w:rPr>
        <w:t xml:space="preserve"> too and is expected to be reflected in the drafting of updates to the Main Terms, Charges Policy and Connectivity Policy.</w:t>
      </w:r>
    </w:p>
    <w:p w14:paraId="291797B4" w14:textId="77777777" w:rsidR="007625FD" w:rsidRDefault="007625FD" w:rsidP="00BF1370">
      <w:pPr>
        <w:jc w:val="both"/>
        <w:rPr>
          <w:lang w:val="en-GB"/>
        </w:rPr>
      </w:pPr>
      <w:r w:rsidRPr="00F208DD">
        <w:rPr>
          <w:lang w:val="en-GB"/>
        </w:rPr>
        <w:t xml:space="preserve">The determination of which UPI </w:t>
      </w:r>
      <w:r>
        <w:rPr>
          <w:lang w:val="en-GB"/>
        </w:rPr>
        <w:t>User Type</w:t>
      </w:r>
      <w:r w:rsidRPr="00F208DD">
        <w:rPr>
          <w:lang w:val="en-GB"/>
        </w:rPr>
        <w:t xml:space="preserve">s will be subject to pre-payment will be confirmed closer to service launch. </w:t>
      </w:r>
    </w:p>
    <w:bookmarkStart w:id="87" w:name="_Toc86680479"/>
    <w:p w14:paraId="09238FF6" w14:textId="77777777" w:rsidR="007625FD" w:rsidRPr="00623841" w:rsidRDefault="007625FD" w:rsidP="007625FD">
      <w:pPr>
        <w:pStyle w:val="Heading2"/>
        <w:spacing w:before="0" w:line="276" w:lineRule="auto"/>
      </w:pPr>
      <w:r>
        <w:rPr>
          <w:noProof/>
          <w:lang w:eastAsia="en-GB"/>
        </w:rPr>
        <mc:AlternateContent>
          <mc:Choice Requires="wps">
            <w:drawing>
              <wp:anchor distT="45720" distB="45720" distL="114300" distR="114300" simplePos="0" relativeHeight="251658250" behindDoc="0" locked="0" layoutInCell="1" allowOverlap="1" wp14:anchorId="01D9B4B8" wp14:editId="17F6968B">
                <wp:simplePos x="0" y="0"/>
                <wp:positionH relativeFrom="margin">
                  <wp:posOffset>24765</wp:posOffset>
                </wp:positionH>
                <wp:positionV relativeFrom="paragraph">
                  <wp:posOffset>330200</wp:posOffset>
                </wp:positionV>
                <wp:extent cx="5716905" cy="1404620"/>
                <wp:effectExtent l="0" t="0" r="17145" b="158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rgbClr val="FFFFFF"/>
                        </a:solidFill>
                        <a:ln w="9525">
                          <a:solidFill>
                            <a:srgbClr val="04AEB9"/>
                          </a:solidFill>
                          <a:miter lim="800000"/>
                          <a:headEnd/>
                          <a:tailEnd/>
                        </a:ln>
                      </wps:spPr>
                      <wps:txbx>
                        <w:txbxContent>
                          <w:p w14:paraId="41FCA337"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140E4827" w14:textId="4ECE6E19" w:rsidR="007625FD" w:rsidRDefault="007625FD" w:rsidP="007625FD">
                            <w:pPr>
                              <w:rPr>
                                <w:lang w:val="en-GB"/>
                              </w:rPr>
                            </w:pPr>
                            <w:r>
                              <w:rPr>
                                <w:lang w:val="en-GB"/>
                              </w:rPr>
                              <w:t>UPI clients required to p</w:t>
                            </w:r>
                            <w:r w:rsidRPr="00C37447">
                              <w:rPr>
                                <w:lang w:val="en-GB"/>
                              </w:rPr>
                              <w:t xml:space="preserve">re-pay will not be activated on the </w:t>
                            </w:r>
                            <w:r w:rsidR="00F07F21">
                              <w:rPr>
                                <w:lang w:val="en-GB"/>
                              </w:rPr>
                              <w:t>UPI Service</w:t>
                            </w:r>
                            <w:r w:rsidRPr="00C37447">
                              <w:rPr>
                                <w:lang w:val="en-GB"/>
                              </w:rPr>
                              <w:t xml:space="preserve"> in Production until </w:t>
                            </w:r>
                            <w:r>
                              <w:rPr>
                                <w:lang w:val="en-GB"/>
                              </w:rPr>
                              <w:t>the relevant Subscription Form is signed and pre-</w:t>
                            </w:r>
                            <w:r w:rsidRPr="00C37447">
                              <w:rPr>
                                <w:lang w:val="en-GB"/>
                              </w:rPr>
                              <w:t xml:space="preserve">payment is </w:t>
                            </w:r>
                            <w:r>
                              <w:rPr>
                                <w:lang w:val="en-GB"/>
                              </w:rPr>
                              <w:t>received via the</w:t>
                            </w:r>
                            <w:r w:rsidRPr="000C393F">
                              <w:t>, and any other technical prerequisites are completed</w:t>
                            </w:r>
                            <w:r w:rsidRPr="000C393F">
                              <w:rPr>
                                <w:lang w:val="en-GB"/>
                              </w:rPr>
                              <w:t>.</w:t>
                            </w:r>
                            <w:r w:rsidRPr="00C37447">
                              <w:rPr>
                                <w:lang w:val="en-GB"/>
                              </w:rPr>
                              <w:t xml:space="preserve"> </w:t>
                            </w:r>
                          </w:p>
                          <w:p w14:paraId="02F2CB7A" w14:textId="77777777" w:rsidR="007625FD" w:rsidRDefault="007625FD" w:rsidP="007625FD">
                            <w:pPr>
                              <w:rPr>
                                <w:lang w:val="en-GB"/>
                              </w:rPr>
                            </w:pPr>
                            <w:r>
                              <w:rPr>
                                <w:lang w:val="en-GB"/>
                              </w:rPr>
                              <w:t xml:space="preserve">Clients who will be invoiced with 30-day payment terms </w:t>
                            </w:r>
                            <w:r w:rsidRPr="00C37447">
                              <w:rPr>
                                <w:lang w:val="en-GB"/>
                              </w:rPr>
                              <w:t xml:space="preserve">will not be activated on the UPI </w:t>
                            </w:r>
                            <w:r>
                              <w:rPr>
                                <w:lang w:val="en-GB"/>
                              </w:rPr>
                              <w:t>S</w:t>
                            </w:r>
                            <w:r w:rsidRPr="00C37447">
                              <w:rPr>
                                <w:lang w:val="en-GB"/>
                              </w:rPr>
                              <w:t xml:space="preserve">ervice in Production </w:t>
                            </w:r>
                            <w:r>
                              <w:rPr>
                                <w:lang w:val="en-GB"/>
                              </w:rPr>
                              <w:t>until the relevant Subscription Form is signed, and billing details have been provided via the COSP. The invoice will be issued 14 days after signature of the agreement, with payment required 30 days thereafter.</w:t>
                            </w:r>
                          </w:p>
                          <w:p w14:paraId="3774A97D" w14:textId="77777777" w:rsidR="007625FD" w:rsidRPr="00D367BD" w:rsidRDefault="007625FD" w:rsidP="007625FD">
                            <w:pPr>
                              <w:rPr>
                                <w:rStyle w:val="normaltextrun"/>
                                <w:lang w:val="en-GB"/>
                              </w:rPr>
                            </w:pPr>
                            <w:r>
                              <w:rPr>
                                <w:lang w:val="en-GB"/>
                              </w:rPr>
                              <w:t xml:space="preserve">There is no impact on the current approach to payment and activation for OTC ISIN clients </w:t>
                            </w:r>
                            <w:proofErr w:type="gramStart"/>
                            <w:r>
                              <w:rPr>
                                <w:lang w:val="en-GB"/>
                              </w:rPr>
                              <w:t>at this time</w:t>
                            </w:r>
                            <w:proofErr w:type="gramEnd"/>
                            <w:r>
                              <w:rPr>
                                <w:lang w:val="en-GB"/>
                              </w:rPr>
                              <w:t>.</w:t>
                            </w:r>
                          </w:p>
                          <w:p w14:paraId="1196F3A9" w14:textId="652BECB2" w:rsidR="007625FD" w:rsidRDefault="007625FD" w:rsidP="007625FD">
                            <w:pPr>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6a</w:t>
                            </w:r>
                            <w:r w:rsidRPr="0076032B">
                              <w:rPr>
                                <w:rStyle w:val="normaltextrun"/>
                                <w:rFonts w:cstheme="minorHAnsi"/>
                                <w:b/>
                                <w:bCs/>
                                <w:color w:val="000000"/>
                              </w:rPr>
                              <w:t xml:space="preserve">: </w:t>
                            </w:r>
                            <w:r w:rsidRPr="002D7CE1">
                              <w:rPr>
                                <w:rStyle w:val="normaltextrun"/>
                                <w:rFonts w:cstheme="minorHAnsi"/>
                                <w:b/>
                                <w:bCs/>
                                <w:i/>
                                <w:iCs/>
                                <w:color w:val="000000"/>
                              </w:rPr>
                              <w:t>Do you agree with the activation pre-requisites laid out</w:t>
                            </w:r>
                            <w:r>
                              <w:rPr>
                                <w:rStyle w:val="normaltextrun"/>
                                <w:rFonts w:cstheme="minorHAnsi"/>
                                <w:b/>
                                <w:bCs/>
                                <w:i/>
                                <w:iCs/>
                                <w:color w:val="000000"/>
                              </w:rPr>
                              <w:t xml:space="preserve"> in this section, relating to clients paying via pre-payment and via </w:t>
                            </w:r>
                            <w:r w:rsidR="00A427D4">
                              <w:rPr>
                                <w:rStyle w:val="normaltextrun"/>
                                <w:rFonts w:cstheme="minorHAnsi"/>
                                <w:b/>
                                <w:bCs/>
                                <w:i/>
                                <w:iCs/>
                                <w:color w:val="000000"/>
                              </w:rPr>
                              <w:t>30-day</w:t>
                            </w:r>
                            <w:r>
                              <w:rPr>
                                <w:rStyle w:val="normaltextrun"/>
                                <w:rFonts w:cstheme="minorHAnsi"/>
                                <w:b/>
                                <w:bCs/>
                                <w:i/>
                                <w:iCs/>
                                <w:color w:val="000000"/>
                              </w:rPr>
                              <w:t xml:space="preserve"> payment terms?</w:t>
                            </w:r>
                          </w:p>
                          <w:p w14:paraId="670E5D4E" w14:textId="77777777" w:rsidR="007625FD" w:rsidRPr="00471A99" w:rsidRDefault="007625FD" w:rsidP="007625FD">
                            <w:pPr>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6b</w:t>
                            </w:r>
                            <w:r w:rsidRPr="0076032B">
                              <w:rPr>
                                <w:rStyle w:val="normaltextrun"/>
                                <w:rFonts w:cstheme="minorHAnsi"/>
                                <w:b/>
                                <w:bCs/>
                                <w:color w:val="000000"/>
                              </w:rPr>
                              <w:t xml:space="preserve">: </w:t>
                            </w:r>
                            <w:r w:rsidRPr="000B0101">
                              <w:rPr>
                                <w:rStyle w:val="normaltextrun"/>
                                <w:rFonts w:cstheme="minorHAnsi"/>
                                <w:b/>
                                <w:i/>
                                <w:color w:val="000000"/>
                              </w:rPr>
                              <w:t>If not, what specific alternate approach do you recommend? Please provide a clear and objective rationale for each alternate approach you recommend.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D9B4B8" id="_x0000_s1032" type="#_x0000_t202" style="position:absolute;left:0;text-align:left;margin-left:1.95pt;margin-top:26pt;width:450.15pt;height:110.6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" strokecolor="#04aeb9">
                <v:textbox style="mso-fit-shape-to-text:t">
                  <w:txbxContent>
                    <w:p w14:paraId="41FCA337"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140E4827" w14:textId="4ECE6E19" w:rsidR="007625FD" w:rsidRDefault="007625FD" w:rsidP="007625FD">
                      <w:pPr>
                        <w:rPr>
                          <w:lang w:val="en-GB"/>
                        </w:rPr>
                      </w:pPr>
                      <w:r>
                        <w:rPr>
                          <w:lang w:val="en-GB"/>
                        </w:rPr>
                        <w:t>UPI clients required to p</w:t>
                      </w:r>
                      <w:r w:rsidRPr="00C37447">
                        <w:rPr>
                          <w:lang w:val="en-GB"/>
                        </w:rPr>
                        <w:t xml:space="preserve">re-pay will not be activated on the </w:t>
                      </w:r>
                      <w:r w:rsidR="00F07F21">
                        <w:rPr>
                          <w:lang w:val="en-GB"/>
                        </w:rPr>
                        <w:t>UPI Service</w:t>
                      </w:r>
                      <w:r w:rsidRPr="00C37447">
                        <w:rPr>
                          <w:lang w:val="en-GB"/>
                        </w:rPr>
                        <w:t xml:space="preserve"> in Production until </w:t>
                      </w:r>
                      <w:r>
                        <w:rPr>
                          <w:lang w:val="en-GB"/>
                        </w:rPr>
                        <w:t>the relevant Subscription Form is signed and pre-</w:t>
                      </w:r>
                      <w:r w:rsidRPr="00C37447">
                        <w:rPr>
                          <w:lang w:val="en-GB"/>
                        </w:rPr>
                        <w:t xml:space="preserve">payment is </w:t>
                      </w:r>
                      <w:r>
                        <w:rPr>
                          <w:lang w:val="en-GB"/>
                        </w:rPr>
                        <w:t>received via the</w:t>
                      </w:r>
                      <w:r w:rsidRPr="000C393F">
                        <w:t>, and any other technical prerequisites are completed</w:t>
                      </w:r>
                      <w:r w:rsidRPr="000C393F">
                        <w:rPr>
                          <w:lang w:val="en-GB"/>
                        </w:rPr>
                        <w:t>.</w:t>
                      </w:r>
                      <w:r w:rsidRPr="00C37447">
                        <w:rPr>
                          <w:lang w:val="en-GB"/>
                        </w:rPr>
                        <w:t xml:space="preserve"> </w:t>
                      </w:r>
                    </w:p>
                    <w:p w14:paraId="02F2CB7A" w14:textId="77777777" w:rsidR="007625FD" w:rsidRDefault="007625FD" w:rsidP="007625FD">
                      <w:pPr>
                        <w:rPr>
                          <w:lang w:val="en-GB"/>
                        </w:rPr>
                      </w:pPr>
                      <w:r>
                        <w:rPr>
                          <w:lang w:val="en-GB"/>
                        </w:rPr>
                        <w:t xml:space="preserve">Clients who will be invoiced with 30-day payment terms </w:t>
                      </w:r>
                      <w:r w:rsidRPr="00C37447">
                        <w:rPr>
                          <w:lang w:val="en-GB"/>
                        </w:rPr>
                        <w:t xml:space="preserve">will not be activated on the UPI </w:t>
                      </w:r>
                      <w:r>
                        <w:rPr>
                          <w:lang w:val="en-GB"/>
                        </w:rPr>
                        <w:t>S</w:t>
                      </w:r>
                      <w:r w:rsidRPr="00C37447">
                        <w:rPr>
                          <w:lang w:val="en-GB"/>
                        </w:rPr>
                        <w:t xml:space="preserve">ervice in Production </w:t>
                      </w:r>
                      <w:r>
                        <w:rPr>
                          <w:lang w:val="en-GB"/>
                        </w:rPr>
                        <w:t>until the relevant Subscription Form is signed, and billing details have been provided via the COSP. The invoice will be issued 14 days after signature of the agreement, with payment required 30 days thereafter.</w:t>
                      </w:r>
                    </w:p>
                    <w:p w14:paraId="3774A97D" w14:textId="77777777" w:rsidR="007625FD" w:rsidRPr="00D367BD" w:rsidRDefault="007625FD" w:rsidP="007625FD">
                      <w:pPr>
                        <w:rPr>
                          <w:rStyle w:val="normaltextrun"/>
                          <w:lang w:val="en-GB"/>
                        </w:rPr>
                      </w:pPr>
                      <w:r>
                        <w:rPr>
                          <w:lang w:val="en-GB"/>
                        </w:rPr>
                        <w:t xml:space="preserve">There is no impact on the current approach to payment and activation for OTC ISIN clients </w:t>
                      </w:r>
                      <w:proofErr w:type="gramStart"/>
                      <w:r>
                        <w:rPr>
                          <w:lang w:val="en-GB"/>
                        </w:rPr>
                        <w:t>at this time</w:t>
                      </w:r>
                      <w:proofErr w:type="gramEnd"/>
                      <w:r>
                        <w:rPr>
                          <w:lang w:val="en-GB"/>
                        </w:rPr>
                        <w:t>.</w:t>
                      </w:r>
                    </w:p>
                    <w:p w14:paraId="1196F3A9" w14:textId="652BECB2" w:rsidR="007625FD" w:rsidRDefault="007625FD" w:rsidP="007625FD">
                      <w:pPr>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6a</w:t>
                      </w:r>
                      <w:r w:rsidRPr="0076032B">
                        <w:rPr>
                          <w:rStyle w:val="normaltextrun"/>
                          <w:rFonts w:cstheme="minorHAnsi"/>
                          <w:b/>
                          <w:bCs/>
                          <w:color w:val="000000"/>
                        </w:rPr>
                        <w:t xml:space="preserve">: </w:t>
                      </w:r>
                      <w:r w:rsidRPr="002D7CE1">
                        <w:rPr>
                          <w:rStyle w:val="normaltextrun"/>
                          <w:rFonts w:cstheme="minorHAnsi"/>
                          <w:b/>
                          <w:bCs/>
                          <w:i/>
                          <w:iCs/>
                          <w:color w:val="000000"/>
                        </w:rPr>
                        <w:t>Do you agree with the activation pre-requisites laid out</w:t>
                      </w:r>
                      <w:r>
                        <w:rPr>
                          <w:rStyle w:val="normaltextrun"/>
                          <w:rFonts w:cstheme="minorHAnsi"/>
                          <w:b/>
                          <w:bCs/>
                          <w:i/>
                          <w:iCs/>
                          <w:color w:val="000000"/>
                        </w:rPr>
                        <w:t xml:space="preserve"> in this section, relating to clients paying via pre-payment and via </w:t>
                      </w:r>
                      <w:r w:rsidR="00A427D4">
                        <w:rPr>
                          <w:rStyle w:val="normaltextrun"/>
                          <w:rFonts w:cstheme="minorHAnsi"/>
                          <w:b/>
                          <w:bCs/>
                          <w:i/>
                          <w:iCs/>
                          <w:color w:val="000000"/>
                        </w:rPr>
                        <w:t>30-day</w:t>
                      </w:r>
                      <w:r>
                        <w:rPr>
                          <w:rStyle w:val="normaltextrun"/>
                          <w:rFonts w:cstheme="minorHAnsi"/>
                          <w:b/>
                          <w:bCs/>
                          <w:i/>
                          <w:iCs/>
                          <w:color w:val="000000"/>
                        </w:rPr>
                        <w:t xml:space="preserve"> payment terms?</w:t>
                      </w:r>
                    </w:p>
                    <w:p w14:paraId="670E5D4E" w14:textId="77777777" w:rsidR="007625FD" w:rsidRPr="00471A99" w:rsidRDefault="007625FD" w:rsidP="007625FD">
                      <w:pPr>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6b</w:t>
                      </w:r>
                      <w:r w:rsidRPr="0076032B">
                        <w:rPr>
                          <w:rStyle w:val="normaltextrun"/>
                          <w:rFonts w:cstheme="minorHAnsi"/>
                          <w:b/>
                          <w:bCs/>
                          <w:color w:val="000000"/>
                        </w:rPr>
                        <w:t xml:space="preserve">: </w:t>
                      </w:r>
                      <w:r w:rsidRPr="000B0101">
                        <w:rPr>
                          <w:rStyle w:val="normaltextrun"/>
                          <w:rFonts w:cstheme="minorHAnsi"/>
                          <w:b/>
                          <w:i/>
                          <w:color w:val="000000"/>
                        </w:rPr>
                        <w:t>If not, what specific alternate approach do you recommend? Please provide a clear and objective rationale for each alternate approach you recommend.</w:t>
                      </w:r>
                    </w:p>
                  </w:txbxContent>
                </v:textbox>
                <w10:wrap type="square" anchorx="margin"/>
              </v:shape>
            </w:pict>
          </mc:Fallback>
        </mc:AlternateContent>
      </w:r>
      <w:r>
        <w:t>Q6 – Service Activation</w:t>
      </w:r>
      <w:bookmarkEnd w:id="87"/>
      <w:r w:rsidRPr="00203651">
        <w:t xml:space="preserve"> </w:t>
      </w:r>
    </w:p>
    <w:p w14:paraId="7FB54803" w14:textId="77777777" w:rsidR="00B31430" w:rsidRDefault="00B31430">
      <w:pPr>
        <w:rPr>
          <w:b/>
          <w:bCs/>
          <w:u w:val="single"/>
        </w:rPr>
      </w:pPr>
      <w:bookmarkStart w:id="88" w:name="_Toc83884021"/>
      <w:bookmarkStart w:id="89" w:name="_Toc83898648"/>
      <w:bookmarkEnd w:id="88"/>
      <w:bookmarkEnd w:id="89"/>
      <w:r>
        <w:rPr>
          <w:b/>
          <w:bCs/>
          <w:u w:val="single"/>
        </w:rPr>
        <w:br w:type="page"/>
      </w:r>
    </w:p>
    <w:p w14:paraId="785FCC5E" w14:textId="2D53B78C" w:rsidR="007625FD" w:rsidRDefault="007625FD" w:rsidP="007625FD">
      <w:pPr>
        <w:jc w:val="both"/>
        <w:rPr>
          <w:b/>
          <w:bCs/>
          <w:u w:val="single"/>
        </w:rPr>
      </w:pPr>
      <w:r>
        <w:rPr>
          <w:b/>
          <w:bCs/>
          <w:u w:val="single"/>
        </w:rPr>
        <w:lastRenderedPageBreak/>
        <w:t>DSB Proposal</w:t>
      </w:r>
      <w:r w:rsidRPr="00623841">
        <w:rPr>
          <w:b/>
          <w:bCs/>
          <w:u w:val="single"/>
        </w:rPr>
        <w:t>:</w:t>
      </w:r>
    </w:p>
    <w:p w14:paraId="0E3028D7" w14:textId="221D80EC" w:rsidR="007625FD" w:rsidRDefault="007625FD" w:rsidP="006F1314">
      <w:pPr>
        <w:jc w:val="both"/>
        <w:rPr>
          <w:lang w:val="en-GB"/>
        </w:rPr>
      </w:pPr>
      <w:r w:rsidRPr="00E51585">
        <w:rPr>
          <w:lang w:val="en-GB"/>
        </w:rPr>
        <w:t xml:space="preserve">Use of the DSB Service is </w:t>
      </w:r>
      <w:r>
        <w:rPr>
          <w:lang w:val="en-GB"/>
        </w:rPr>
        <w:t xml:space="preserve">currently </w:t>
      </w:r>
      <w:r w:rsidRPr="00E51585">
        <w:rPr>
          <w:lang w:val="en-GB"/>
        </w:rPr>
        <w:t xml:space="preserve">conditional upon the </w:t>
      </w:r>
      <w:r>
        <w:rPr>
          <w:lang w:val="en-GB"/>
        </w:rPr>
        <w:t>User</w:t>
      </w:r>
      <w:r w:rsidRPr="00E51585">
        <w:rPr>
          <w:lang w:val="en-GB"/>
        </w:rPr>
        <w:t>’s signed acceptance of th</w:t>
      </w:r>
      <w:r>
        <w:rPr>
          <w:lang w:val="en-GB"/>
        </w:rPr>
        <w:t>e</w:t>
      </w:r>
      <w:r w:rsidRPr="00E51585">
        <w:rPr>
          <w:lang w:val="en-GB"/>
        </w:rPr>
        <w:t xml:space="preserve"> </w:t>
      </w:r>
      <w:r>
        <w:rPr>
          <w:lang w:val="en-GB"/>
        </w:rPr>
        <w:t xml:space="preserve">Access </w:t>
      </w:r>
      <w:r w:rsidR="00992458">
        <w:rPr>
          <w:lang w:val="en-GB"/>
        </w:rPr>
        <w:t xml:space="preserve">and </w:t>
      </w:r>
      <w:r>
        <w:rPr>
          <w:lang w:val="en-GB"/>
        </w:rPr>
        <w:t>Usage Agreement</w:t>
      </w:r>
      <w:r w:rsidRPr="00E51585">
        <w:rPr>
          <w:lang w:val="en-GB"/>
        </w:rPr>
        <w:t xml:space="preserve">.  </w:t>
      </w:r>
    </w:p>
    <w:p w14:paraId="689B68CA" w14:textId="1EB1A136" w:rsidR="007625FD" w:rsidRDefault="007625FD" w:rsidP="006F1314">
      <w:pPr>
        <w:jc w:val="both"/>
        <w:rPr>
          <w:lang w:val="en-GB"/>
        </w:rPr>
      </w:pPr>
      <w:r>
        <w:rPr>
          <w:lang w:val="en-GB"/>
        </w:rPr>
        <w:t>In the new model, UPI clients required to p</w:t>
      </w:r>
      <w:r w:rsidRPr="00C37447">
        <w:rPr>
          <w:lang w:val="en-GB"/>
        </w:rPr>
        <w:t>re-pay</w:t>
      </w:r>
      <w:r>
        <w:rPr>
          <w:rStyle w:val="FootnoteReference"/>
          <w:lang w:val="en-GB"/>
        </w:rPr>
        <w:footnoteReference w:id="52"/>
      </w:r>
      <w:r w:rsidRPr="00C37447">
        <w:rPr>
          <w:lang w:val="en-GB"/>
        </w:rPr>
        <w:t xml:space="preserve"> will not be activated on the UPI </w:t>
      </w:r>
      <w:r>
        <w:rPr>
          <w:lang w:val="en-GB"/>
        </w:rPr>
        <w:t>S</w:t>
      </w:r>
      <w:r w:rsidRPr="00C37447">
        <w:rPr>
          <w:lang w:val="en-GB"/>
        </w:rPr>
        <w:t xml:space="preserve">ervice in Production until </w:t>
      </w:r>
      <w:r>
        <w:rPr>
          <w:lang w:val="en-GB"/>
        </w:rPr>
        <w:t>the relevant Subscription Form is signed and pre-</w:t>
      </w:r>
      <w:r w:rsidRPr="00C37447">
        <w:rPr>
          <w:lang w:val="en-GB"/>
        </w:rPr>
        <w:t xml:space="preserve">payment is </w:t>
      </w:r>
      <w:r>
        <w:rPr>
          <w:lang w:val="en-GB"/>
        </w:rPr>
        <w:t>received via the COSP</w:t>
      </w:r>
      <w:r w:rsidRPr="00C37447">
        <w:rPr>
          <w:lang w:val="en-GB"/>
        </w:rPr>
        <w:t xml:space="preserve">. </w:t>
      </w:r>
    </w:p>
    <w:p w14:paraId="2D0FFF6D" w14:textId="77777777" w:rsidR="007625FD" w:rsidRDefault="007625FD" w:rsidP="006F1314">
      <w:pPr>
        <w:jc w:val="both"/>
        <w:rPr>
          <w:lang w:val="en-GB"/>
        </w:rPr>
      </w:pPr>
      <w:r>
        <w:rPr>
          <w:lang w:val="en-GB"/>
        </w:rPr>
        <w:t xml:space="preserve">Clients who will be invoiced with 30-day payment terms </w:t>
      </w:r>
      <w:r w:rsidRPr="00C37447">
        <w:rPr>
          <w:lang w:val="en-GB"/>
        </w:rPr>
        <w:t xml:space="preserve">will not be activated on the UPI </w:t>
      </w:r>
      <w:r>
        <w:rPr>
          <w:lang w:val="en-GB"/>
        </w:rPr>
        <w:t>S</w:t>
      </w:r>
      <w:r w:rsidRPr="00C37447">
        <w:rPr>
          <w:lang w:val="en-GB"/>
        </w:rPr>
        <w:t xml:space="preserve">ervice in Production </w:t>
      </w:r>
      <w:r>
        <w:rPr>
          <w:lang w:val="en-GB"/>
        </w:rPr>
        <w:t>until the relevant Subscription Form is signed, and billing details have been provided via the COSP. The invoice will be issued 14 days after signature of the agreement, with payment required 30 days thereafter.</w:t>
      </w:r>
    </w:p>
    <w:p w14:paraId="59C6BD9B" w14:textId="77777777" w:rsidR="007625FD" w:rsidRPr="00F16379" w:rsidRDefault="007625FD" w:rsidP="006F1314">
      <w:pPr>
        <w:spacing w:after="0"/>
        <w:jc w:val="both"/>
        <w:rPr>
          <w:rFonts w:cstheme="minorHAnsi"/>
        </w:rPr>
      </w:pPr>
      <w:r w:rsidRPr="00F16379">
        <w:rPr>
          <w:rFonts w:cstheme="minorHAnsi"/>
        </w:rPr>
        <w:t xml:space="preserve">This approach is aligned to the Governance </w:t>
      </w:r>
      <w:r>
        <w:rPr>
          <w:rFonts w:cstheme="minorHAnsi"/>
        </w:rPr>
        <w:t>C</w:t>
      </w:r>
      <w:r w:rsidRPr="00F16379">
        <w:rPr>
          <w:rFonts w:cstheme="minorHAnsi"/>
        </w:rPr>
        <w:t xml:space="preserve">riteria of </w:t>
      </w:r>
      <w:r>
        <w:rPr>
          <w:rFonts w:cstheme="minorHAnsi"/>
        </w:rPr>
        <w:t>O</w:t>
      </w:r>
      <w:r w:rsidRPr="00B2304C">
        <w:rPr>
          <w:rFonts w:cstheme="minorHAnsi"/>
        </w:rPr>
        <w:t xml:space="preserve">perational </w:t>
      </w:r>
      <w:r>
        <w:rPr>
          <w:rFonts w:cstheme="minorHAnsi"/>
        </w:rPr>
        <w:t>V</w:t>
      </w:r>
      <w:r w:rsidRPr="00B2304C">
        <w:rPr>
          <w:rFonts w:cstheme="minorHAnsi"/>
        </w:rPr>
        <w:t xml:space="preserve">iability and </w:t>
      </w:r>
      <w:r>
        <w:rPr>
          <w:rFonts w:cstheme="minorHAnsi"/>
        </w:rPr>
        <w:t>C</w:t>
      </w:r>
      <w:r w:rsidRPr="00B2304C">
        <w:rPr>
          <w:rFonts w:cstheme="minorHAnsi"/>
        </w:rPr>
        <w:t xml:space="preserve">ontinuity of UPI Service Provider </w:t>
      </w:r>
      <w:r>
        <w:rPr>
          <w:rFonts w:cstheme="minorHAnsi"/>
        </w:rPr>
        <w:t>O</w:t>
      </w:r>
      <w:r w:rsidRPr="00B2304C">
        <w:rPr>
          <w:rFonts w:cstheme="minorHAnsi"/>
        </w:rPr>
        <w:t>perations</w:t>
      </w:r>
      <w:r w:rsidRPr="00F16379">
        <w:rPr>
          <w:rFonts w:cstheme="minorHAnsi"/>
        </w:rPr>
        <w:t>.</w:t>
      </w:r>
    </w:p>
    <w:p w14:paraId="3864C850" w14:textId="77777777" w:rsidR="007625FD" w:rsidRPr="00F16379" w:rsidRDefault="007625FD" w:rsidP="006F1314">
      <w:pPr>
        <w:spacing w:after="0"/>
        <w:jc w:val="both"/>
        <w:rPr>
          <w:rFonts w:cstheme="minorHAnsi"/>
          <w:b/>
          <w:bCs/>
        </w:rPr>
      </w:pPr>
    </w:p>
    <w:p w14:paraId="0D657936" w14:textId="021B5FA5" w:rsidR="007625FD" w:rsidRPr="003256DC" w:rsidRDefault="007625FD" w:rsidP="006F1314">
      <w:pPr>
        <w:jc w:val="both"/>
        <w:rPr>
          <w:lang w:val="en-GB"/>
        </w:rPr>
      </w:pPr>
      <w:r w:rsidRPr="00841B72">
        <w:rPr>
          <w:lang w:val="en-GB"/>
        </w:rPr>
        <w:t xml:space="preserve">For the OTC </w:t>
      </w:r>
      <w:r w:rsidR="00F07F21">
        <w:rPr>
          <w:lang w:val="en-GB"/>
        </w:rPr>
        <w:t>ISIN Service</w:t>
      </w:r>
      <w:r w:rsidRPr="00841B72">
        <w:rPr>
          <w:lang w:val="en-GB"/>
        </w:rPr>
        <w:t xml:space="preserve">, </w:t>
      </w:r>
      <w:r>
        <w:rPr>
          <w:lang w:val="en-GB"/>
        </w:rPr>
        <w:t xml:space="preserve">the existing approach will remain where </w:t>
      </w:r>
      <w:r w:rsidRPr="00841B72">
        <w:rPr>
          <w:lang w:val="en-GB"/>
        </w:rPr>
        <w:t xml:space="preserve">access to the service is granted </w:t>
      </w:r>
      <w:r>
        <w:rPr>
          <w:lang w:val="en-GB"/>
        </w:rPr>
        <w:t>following signature of the</w:t>
      </w:r>
      <w:r w:rsidRPr="00841B72">
        <w:rPr>
          <w:lang w:val="en-GB"/>
        </w:rPr>
        <w:t xml:space="preserve"> agreement</w:t>
      </w:r>
      <w:r>
        <w:rPr>
          <w:lang w:val="en-GB"/>
        </w:rPr>
        <w:t>.</w:t>
      </w:r>
    </w:p>
    <w:p w14:paraId="08E7BF6C" w14:textId="77777777" w:rsidR="007625FD" w:rsidRDefault="007625FD" w:rsidP="007625FD">
      <w:pPr>
        <w:rPr>
          <w:lang w:val="en-GB"/>
        </w:rPr>
      </w:pPr>
      <w:bookmarkStart w:id="90" w:name="_Toc83040833"/>
      <w:bookmarkStart w:id="91" w:name="_Toc83051165"/>
      <w:bookmarkStart w:id="92" w:name="_Toc83102140"/>
      <w:bookmarkStart w:id="93" w:name="_Toc83383531"/>
      <w:bookmarkStart w:id="94" w:name="_Toc83383983"/>
      <w:bookmarkStart w:id="95" w:name="_Toc83384045"/>
      <w:bookmarkStart w:id="96" w:name="_Toc83384502"/>
      <w:bookmarkStart w:id="97" w:name="_Toc83719755"/>
      <w:bookmarkStart w:id="98" w:name="_Toc83725153"/>
      <w:bookmarkStart w:id="99" w:name="_Toc83040834"/>
      <w:bookmarkStart w:id="100" w:name="_Toc83051166"/>
      <w:bookmarkStart w:id="101" w:name="_Toc83102141"/>
      <w:bookmarkStart w:id="102" w:name="_Toc83383532"/>
      <w:bookmarkStart w:id="103" w:name="_Toc83383984"/>
      <w:bookmarkStart w:id="104" w:name="_Toc83384046"/>
      <w:bookmarkStart w:id="105" w:name="_Toc83384503"/>
      <w:bookmarkStart w:id="106" w:name="_Toc83719756"/>
      <w:bookmarkStart w:id="107" w:name="_Toc83725154"/>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bookmarkStart w:id="108" w:name="_Ref83800445"/>
    <w:bookmarkStart w:id="109" w:name="_Toc86680480"/>
    <w:p w14:paraId="3DA74B8E" w14:textId="77777777" w:rsidR="007625FD" w:rsidRPr="00623841" w:rsidRDefault="007625FD" w:rsidP="007625FD">
      <w:pPr>
        <w:pStyle w:val="Heading2"/>
        <w:spacing w:before="0" w:line="276" w:lineRule="auto"/>
      </w:pPr>
      <w:r>
        <w:rPr>
          <w:noProof/>
          <w:lang w:eastAsia="en-GB"/>
        </w:rPr>
        <w:lastRenderedPageBreak/>
        <mc:AlternateContent>
          <mc:Choice Requires="wps">
            <w:drawing>
              <wp:anchor distT="45720" distB="45720" distL="114300" distR="114300" simplePos="0" relativeHeight="251658243" behindDoc="0" locked="0" layoutInCell="1" allowOverlap="1" wp14:anchorId="69F9FF9A" wp14:editId="36CFB520">
                <wp:simplePos x="0" y="0"/>
                <wp:positionH relativeFrom="margin">
                  <wp:posOffset>38735</wp:posOffset>
                </wp:positionH>
                <wp:positionV relativeFrom="paragraph">
                  <wp:posOffset>384175</wp:posOffset>
                </wp:positionV>
                <wp:extent cx="5716905" cy="1404620"/>
                <wp:effectExtent l="0" t="0" r="17145"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rgbClr val="FFFFFF"/>
                        </a:solidFill>
                        <a:ln w="9525">
                          <a:solidFill>
                            <a:srgbClr val="04AEB9"/>
                          </a:solidFill>
                          <a:miter lim="800000"/>
                          <a:headEnd/>
                          <a:tailEnd/>
                        </a:ln>
                      </wps:spPr>
                      <wps:txbx>
                        <w:txbxContent>
                          <w:p w14:paraId="00978972"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508082BA" w14:textId="0DBD3D29" w:rsidR="007625FD" w:rsidRDefault="007625FD" w:rsidP="006F1314">
                            <w:pPr>
                              <w:pStyle w:val="paragraph"/>
                              <w:spacing w:before="240" w:beforeAutospacing="0" w:after="120" w:afterAutospacing="0" w:line="276" w:lineRule="auto"/>
                              <w:jc w:val="both"/>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The existing legal terms underpinning Termination, Suspension and Renewals will persist for the UPI Service. These processes for the UPI Service will be managed by default on the COSP. </w:t>
                            </w:r>
                          </w:p>
                          <w:p w14:paraId="6D23E8C5" w14:textId="77777777" w:rsidR="007625FD" w:rsidRDefault="007625FD" w:rsidP="006F1314">
                            <w:pPr>
                              <w:pStyle w:val="paragraph"/>
                              <w:spacing w:before="240" w:beforeAutospacing="0" w:after="120" w:afterAutospacing="0" w:line="276" w:lineRule="auto"/>
                              <w:jc w:val="both"/>
                              <w:textAlignment w:val="baseline"/>
                              <w:rPr>
                                <w:rStyle w:val="normaltextrun"/>
                                <w:rFonts w:asciiTheme="minorHAnsi" w:hAnsiTheme="minorHAnsi" w:cstheme="minorHAnsi"/>
                                <w:color w:val="000000"/>
                                <w:sz w:val="22"/>
                                <w:szCs w:val="22"/>
                              </w:rPr>
                            </w:pPr>
                            <w:r w:rsidRPr="0061578E">
                              <w:rPr>
                                <w:rStyle w:val="normaltextrun"/>
                                <w:rFonts w:asciiTheme="minorHAnsi" w:hAnsiTheme="minorHAnsi" w:cstheme="minorHAnsi"/>
                                <w:color w:val="000000"/>
                                <w:sz w:val="22"/>
                                <w:szCs w:val="22"/>
                              </w:rPr>
                              <w:t xml:space="preserve">In line with the existing OTC ISIN </w:t>
                            </w:r>
                            <w:r>
                              <w:rPr>
                                <w:rStyle w:val="normaltextrun"/>
                                <w:rFonts w:asciiTheme="minorHAnsi" w:hAnsiTheme="minorHAnsi" w:cstheme="minorHAnsi"/>
                                <w:color w:val="000000"/>
                                <w:sz w:val="22"/>
                                <w:szCs w:val="22"/>
                              </w:rPr>
                              <w:t>S</w:t>
                            </w:r>
                            <w:r w:rsidRPr="0061578E">
                              <w:rPr>
                                <w:rStyle w:val="normaltextrun"/>
                                <w:rFonts w:asciiTheme="minorHAnsi" w:hAnsiTheme="minorHAnsi" w:cstheme="minorHAnsi"/>
                                <w:color w:val="000000"/>
                                <w:sz w:val="22"/>
                                <w:szCs w:val="22"/>
                              </w:rPr>
                              <w:t>ervice, UPI contracts will auto-renew on an annual basis. Clients will continue to be given a 90-day notice period in which they are able to terminate their contract before auto-renewal.</w:t>
                            </w:r>
                          </w:p>
                          <w:p w14:paraId="15A5B2A6" w14:textId="3E235BA7" w:rsidR="007625FD" w:rsidRDefault="007625FD" w:rsidP="006F1314">
                            <w:pPr>
                              <w:pStyle w:val="paragraph"/>
                              <w:spacing w:before="240" w:beforeAutospacing="0" w:after="120" w:afterAutospacing="0" w:line="276" w:lineRule="auto"/>
                              <w:jc w:val="both"/>
                              <w:textAlignment w:val="baseline"/>
                              <w:rPr>
                                <w:rStyle w:val="normaltextrun"/>
                                <w:rFonts w:asciiTheme="minorHAnsi" w:hAnsiTheme="minorHAnsi" w:cstheme="minorHAnsi"/>
                                <w:color w:val="000000"/>
                                <w:sz w:val="22"/>
                                <w:szCs w:val="22"/>
                              </w:rPr>
                            </w:pPr>
                            <w:r w:rsidRPr="0061578E">
                              <w:rPr>
                                <w:rStyle w:val="normaltextrun"/>
                                <w:rFonts w:asciiTheme="minorHAnsi" w:hAnsiTheme="minorHAnsi" w:cstheme="minorHAnsi"/>
                                <w:color w:val="000000"/>
                                <w:sz w:val="22"/>
                                <w:szCs w:val="22"/>
                              </w:rPr>
                              <w:t xml:space="preserve">For certain User Type(s) and fee levels, as for initial UPI onboarding, the DSB intends to require online pre-payment by debit or credit card at the point of renewal to the </w:t>
                            </w:r>
                            <w:r w:rsidR="00F07F21">
                              <w:rPr>
                                <w:rStyle w:val="normaltextrun"/>
                                <w:rFonts w:asciiTheme="minorHAnsi" w:hAnsiTheme="minorHAnsi" w:cstheme="minorHAnsi"/>
                                <w:color w:val="000000"/>
                                <w:sz w:val="22"/>
                                <w:szCs w:val="22"/>
                              </w:rPr>
                              <w:t>UPI Service</w:t>
                            </w:r>
                            <w:r w:rsidRPr="0061578E">
                              <w:rPr>
                                <w:rStyle w:val="normaltextrun"/>
                                <w:rFonts w:asciiTheme="minorHAnsi" w:hAnsiTheme="minorHAnsi" w:cstheme="minorHAnsi"/>
                                <w:color w:val="000000"/>
                                <w:sz w:val="22"/>
                                <w:szCs w:val="22"/>
                              </w:rPr>
                              <w:t>.</w:t>
                            </w:r>
                          </w:p>
                          <w:p w14:paraId="10C33F22" w14:textId="77777777" w:rsidR="007625FD" w:rsidRPr="00D367BD" w:rsidRDefault="007625FD" w:rsidP="006F1314">
                            <w:pPr>
                              <w:jc w:val="both"/>
                              <w:rPr>
                                <w:rStyle w:val="normaltextrun"/>
                              </w:rPr>
                            </w:pPr>
                            <w:r>
                              <w:rPr>
                                <w:lang w:val="en-GB"/>
                              </w:rPr>
                              <w:t>There will no change to the existing approach to Terminations, Suspension and Renewals for OTC ISIN clients at the time of the launch of the UPI Service.</w:t>
                            </w:r>
                          </w:p>
                          <w:p w14:paraId="2D59B100" w14:textId="77777777" w:rsidR="007625FD" w:rsidRDefault="007625FD" w:rsidP="006F1314">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7a</w:t>
                            </w:r>
                            <w:r w:rsidRPr="0076032B">
                              <w:rPr>
                                <w:rStyle w:val="normaltextrun"/>
                                <w:rFonts w:cstheme="minorHAnsi"/>
                                <w:b/>
                                <w:bCs/>
                                <w:color w:val="000000"/>
                              </w:rPr>
                              <w:t xml:space="preserve">: </w:t>
                            </w:r>
                            <w:r>
                              <w:rPr>
                                <w:rStyle w:val="normaltextrun"/>
                                <w:rFonts w:cstheme="minorHAnsi"/>
                                <w:b/>
                                <w:bCs/>
                                <w:i/>
                                <w:iCs/>
                                <w:color w:val="000000"/>
                              </w:rPr>
                              <w:t>D</w:t>
                            </w:r>
                            <w:r w:rsidRPr="00100676">
                              <w:rPr>
                                <w:rStyle w:val="normaltextrun"/>
                                <w:rFonts w:cstheme="minorHAnsi"/>
                                <w:b/>
                                <w:bCs/>
                                <w:i/>
                                <w:iCs/>
                                <w:color w:val="000000"/>
                              </w:rPr>
                              <w:t>o</w:t>
                            </w:r>
                            <w:r>
                              <w:rPr>
                                <w:rStyle w:val="normaltextrun"/>
                                <w:rFonts w:cstheme="minorHAnsi"/>
                                <w:b/>
                                <w:bCs/>
                                <w:i/>
                                <w:iCs/>
                                <w:color w:val="000000"/>
                              </w:rPr>
                              <w:t xml:space="preserve"> you</w:t>
                            </w:r>
                            <w:r w:rsidRPr="00100676">
                              <w:rPr>
                                <w:rStyle w:val="normaltextrun"/>
                                <w:rFonts w:cstheme="minorHAnsi"/>
                                <w:b/>
                                <w:bCs/>
                                <w:i/>
                                <w:iCs/>
                                <w:color w:val="000000"/>
                              </w:rPr>
                              <w:t xml:space="preserve"> </w:t>
                            </w:r>
                            <w:r>
                              <w:rPr>
                                <w:rStyle w:val="normaltextrun"/>
                                <w:rFonts w:cstheme="minorHAnsi"/>
                                <w:b/>
                                <w:bCs/>
                                <w:i/>
                                <w:iCs/>
                                <w:color w:val="000000"/>
                              </w:rPr>
                              <w:t>agree that it is reasonable</w:t>
                            </w:r>
                            <w:r w:rsidRPr="00100676">
                              <w:rPr>
                                <w:rStyle w:val="normaltextrun"/>
                                <w:rFonts w:cstheme="minorHAnsi"/>
                                <w:b/>
                                <w:bCs/>
                                <w:i/>
                                <w:iCs/>
                                <w:color w:val="000000"/>
                              </w:rPr>
                              <w:t xml:space="preserve"> </w:t>
                            </w:r>
                            <w:r>
                              <w:rPr>
                                <w:rStyle w:val="normaltextrun"/>
                                <w:rFonts w:cstheme="minorHAnsi"/>
                                <w:b/>
                                <w:bCs/>
                                <w:i/>
                                <w:iCs/>
                                <w:color w:val="000000"/>
                              </w:rPr>
                              <w:t xml:space="preserve">for </w:t>
                            </w:r>
                            <w:r w:rsidRPr="00100676">
                              <w:rPr>
                                <w:rStyle w:val="normaltextrun"/>
                                <w:rFonts w:cstheme="minorHAnsi"/>
                                <w:b/>
                                <w:bCs/>
                                <w:i/>
                                <w:iCs/>
                                <w:color w:val="000000"/>
                              </w:rPr>
                              <w:t xml:space="preserve">pre-payment </w:t>
                            </w:r>
                            <w:r>
                              <w:rPr>
                                <w:rStyle w:val="normaltextrun"/>
                                <w:rFonts w:cstheme="minorHAnsi"/>
                                <w:b/>
                                <w:bCs/>
                                <w:i/>
                                <w:iCs/>
                                <w:color w:val="000000"/>
                              </w:rPr>
                              <w:t xml:space="preserve">by debit or credit card </w:t>
                            </w:r>
                            <w:r w:rsidRPr="00100676">
                              <w:rPr>
                                <w:rStyle w:val="normaltextrun"/>
                                <w:rFonts w:cstheme="minorHAnsi"/>
                                <w:b/>
                                <w:bCs/>
                                <w:i/>
                                <w:iCs/>
                                <w:color w:val="000000"/>
                              </w:rPr>
                              <w:t xml:space="preserve">for certain </w:t>
                            </w:r>
                            <w:r>
                              <w:rPr>
                                <w:rStyle w:val="normaltextrun"/>
                                <w:rFonts w:cstheme="minorHAnsi"/>
                                <w:b/>
                                <w:bCs/>
                                <w:i/>
                                <w:iCs/>
                                <w:color w:val="000000"/>
                              </w:rPr>
                              <w:t>User types to be mandated during the Renewals process?</w:t>
                            </w:r>
                          </w:p>
                          <w:p w14:paraId="64E828EF" w14:textId="77777777" w:rsidR="007625FD" w:rsidRPr="00D546F9" w:rsidRDefault="007625FD" w:rsidP="006F1314">
                            <w:pPr>
                              <w:jc w:val="both"/>
                              <w:rPr>
                                <w:rStyle w:val="normaltextrun"/>
                                <w:rFonts w:cstheme="minorHAnsi"/>
                                <w:b/>
                                <w:color w:val="000000"/>
                              </w:rPr>
                            </w:pPr>
                            <w:r w:rsidRPr="0076032B">
                              <w:rPr>
                                <w:rStyle w:val="normaltextrun"/>
                                <w:rFonts w:cstheme="minorHAnsi"/>
                                <w:b/>
                                <w:bCs/>
                                <w:color w:val="000000"/>
                              </w:rPr>
                              <w:t>Question</w:t>
                            </w:r>
                            <w:r>
                              <w:rPr>
                                <w:rStyle w:val="normaltextrun"/>
                                <w:rFonts w:cstheme="minorHAnsi"/>
                                <w:b/>
                                <w:bCs/>
                                <w:color w:val="000000"/>
                              </w:rPr>
                              <w:t xml:space="preserve"> 7b: </w:t>
                            </w:r>
                            <w:r w:rsidRPr="002D7CE1">
                              <w:rPr>
                                <w:rStyle w:val="normaltextrun"/>
                                <w:rFonts w:cstheme="minorHAnsi"/>
                                <w:b/>
                                <w:bCs/>
                                <w:i/>
                                <w:iCs/>
                                <w:color w:val="000000"/>
                              </w:rPr>
                              <w:t>If not</w:t>
                            </w:r>
                            <w:r>
                              <w:rPr>
                                <w:rStyle w:val="normaltextrun"/>
                                <w:rFonts w:cstheme="minorHAnsi"/>
                                <w:b/>
                                <w:bCs/>
                                <w:i/>
                                <w:iCs/>
                                <w:color w:val="000000"/>
                              </w:rPr>
                              <w:t>, please articulate your concerns with clear rationale, and a specific alternate approach.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F9FF9A" id="_x0000_s1033" type="#_x0000_t202" style="position:absolute;left:0;text-align:left;margin-left:3.05pt;margin-top:30.25pt;width:450.15pt;height:110.6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" strokecolor="#04aeb9">
                <v:textbox style="mso-fit-shape-to-text:t">
                  <w:txbxContent>
                    <w:p w14:paraId="00978972"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508082BA" w14:textId="0DBD3D29" w:rsidR="007625FD" w:rsidRDefault="007625FD" w:rsidP="006F1314">
                      <w:pPr>
                        <w:pStyle w:val="paragraph"/>
                        <w:spacing w:before="240" w:beforeAutospacing="0" w:after="120" w:afterAutospacing="0" w:line="276" w:lineRule="auto"/>
                        <w:jc w:val="both"/>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The existing legal terms underpinning Termination, Suspension and Renewals will persist for the UPI Service. These processes for the UPI Service will be managed by default on the COSP. </w:t>
                      </w:r>
                    </w:p>
                    <w:p w14:paraId="6D23E8C5" w14:textId="77777777" w:rsidR="007625FD" w:rsidRDefault="007625FD" w:rsidP="006F1314">
                      <w:pPr>
                        <w:pStyle w:val="paragraph"/>
                        <w:spacing w:before="240" w:beforeAutospacing="0" w:after="120" w:afterAutospacing="0" w:line="276" w:lineRule="auto"/>
                        <w:jc w:val="both"/>
                        <w:textAlignment w:val="baseline"/>
                        <w:rPr>
                          <w:rStyle w:val="normaltextrun"/>
                          <w:rFonts w:asciiTheme="minorHAnsi" w:hAnsiTheme="minorHAnsi" w:cstheme="minorHAnsi"/>
                          <w:color w:val="000000"/>
                          <w:sz w:val="22"/>
                          <w:szCs w:val="22"/>
                        </w:rPr>
                      </w:pPr>
                      <w:r w:rsidRPr="0061578E">
                        <w:rPr>
                          <w:rStyle w:val="normaltextrun"/>
                          <w:rFonts w:asciiTheme="minorHAnsi" w:hAnsiTheme="minorHAnsi" w:cstheme="minorHAnsi"/>
                          <w:color w:val="000000"/>
                          <w:sz w:val="22"/>
                          <w:szCs w:val="22"/>
                        </w:rPr>
                        <w:t xml:space="preserve">In line with the existing OTC ISIN </w:t>
                      </w:r>
                      <w:r>
                        <w:rPr>
                          <w:rStyle w:val="normaltextrun"/>
                          <w:rFonts w:asciiTheme="minorHAnsi" w:hAnsiTheme="minorHAnsi" w:cstheme="minorHAnsi"/>
                          <w:color w:val="000000"/>
                          <w:sz w:val="22"/>
                          <w:szCs w:val="22"/>
                        </w:rPr>
                        <w:t>S</w:t>
                      </w:r>
                      <w:r w:rsidRPr="0061578E">
                        <w:rPr>
                          <w:rStyle w:val="normaltextrun"/>
                          <w:rFonts w:asciiTheme="minorHAnsi" w:hAnsiTheme="minorHAnsi" w:cstheme="minorHAnsi"/>
                          <w:color w:val="000000"/>
                          <w:sz w:val="22"/>
                          <w:szCs w:val="22"/>
                        </w:rPr>
                        <w:t>ervice, UPI contracts will auto-renew on an annual basis. Clients will continue to be given a 90-day notice period in which they are able to terminate their contract before auto-renewal.</w:t>
                      </w:r>
                    </w:p>
                    <w:p w14:paraId="15A5B2A6" w14:textId="3E235BA7" w:rsidR="007625FD" w:rsidRDefault="007625FD" w:rsidP="006F1314">
                      <w:pPr>
                        <w:pStyle w:val="paragraph"/>
                        <w:spacing w:before="240" w:beforeAutospacing="0" w:after="120" w:afterAutospacing="0" w:line="276" w:lineRule="auto"/>
                        <w:jc w:val="both"/>
                        <w:textAlignment w:val="baseline"/>
                        <w:rPr>
                          <w:rStyle w:val="normaltextrun"/>
                          <w:rFonts w:asciiTheme="minorHAnsi" w:hAnsiTheme="minorHAnsi" w:cstheme="minorHAnsi"/>
                          <w:color w:val="000000"/>
                          <w:sz w:val="22"/>
                          <w:szCs w:val="22"/>
                        </w:rPr>
                      </w:pPr>
                      <w:r w:rsidRPr="0061578E">
                        <w:rPr>
                          <w:rStyle w:val="normaltextrun"/>
                          <w:rFonts w:asciiTheme="minorHAnsi" w:hAnsiTheme="minorHAnsi" w:cstheme="minorHAnsi"/>
                          <w:color w:val="000000"/>
                          <w:sz w:val="22"/>
                          <w:szCs w:val="22"/>
                        </w:rPr>
                        <w:t xml:space="preserve">For certain User Type(s) and fee levels, as for initial UPI onboarding, the DSB intends to require online pre-payment by debit or credit card at the point of renewal to the </w:t>
                      </w:r>
                      <w:r w:rsidR="00F07F21">
                        <w:rPr>
                          <w:rStyle w:val="normaltextrun"/>
                          <w:rFonts w:asciiTheme="minorHAnsi" w:hAnsiTheme="minorHAnsi" w:cstheme="minorHAnsi"/>
                          <w:color w:val="000000"/>
                          <w:sz w:val="22"/>
                          <w:szCs w:val="22"/>
                        </w:rPr>
                        <w:t>UPI Service</w:t>
                      </w:r>
                      <w:r w:rsidRPr="0061578E">
                        <w:rPr>
                          <w:rStyle w:val="normaltextrun"/>
                          <w:rFonts w:asciiTheme="minorHAnsi" w:hAnsiTheme="minorHAnsi" w:cstheme="minorHAnsi"/>
                          <w:color w:val="000000"/>
                          <w:sz w:val="22"/>
                          <w:szCs w:val="22"/>
                        </w:rPr>
                        <w:t>.</w:t>
                      </w:r>
                    </w:p>
                    <w:p w14:paraId="10C33F22" w14:textId="77777777" w:rsidR="007625FD" w:rsidRPr="00D367BD" w:rsidRDefault="007625FD" w:rsidP="006F1314">
                      <w:pPr>
                        <w:jc w:val="both"/>
                        <w:rPr>
                          <w:rStyle w:val="normaltextrun"/>
                        </w:rPr>
                      </w:pPr>
                      <w:r>
                        <w:rPr>
                          <w:lang w:val="en-GB"/>
                        </w:rPr>
                        <w:t>There will no change to the existing approach to Terminations, Suspension and Renewals for OTC ISIN clients at the time of the launch of the UPI Service.</w:t>
                      </w:r>
                    </w:p>
                    <w:p w14:paraId="2D59B100" w14:textId="77777777" w:rsidR="007625FD" w:rsidRDefault="007625FD" w:rsidP="006F1314">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7a</w:t>
                      </w:r>
                      <w:r w:rsidRPr="0076032B">
                        <w:rPr>
                          <w:rStyle w:val="normaltextrun"/>
                          <w:rFonts w:cstheme="minorHAnsi"/>
                          <w:b/>
                          <w:bCs/>
                          <w:color w:val="000000"/>
                        </w:rPr>
                        <w:t xml:space="preserve">: </w:t>
                      </w:r>
                      <w:r>
                        <w:rPr>
                          <w:rStyle w:val="normaltextrun"/>
                          <w:rFonts w:cstheme="minorHAnsi"/>
                          <w:b/>
                          <w:bCs/>
                          <w:i/>
                          <w:iCs/>
                          <w:color w:val="000000"/>
                        </w:rPr>
                        <w:t>D</w:t>
                      </w:r>
                      <w:r w:rsidRPr="00100676">
                        <w:rPr>
                          <w:rStyle w:val="normaltextrun"/>
                          <w:rFonts w:cstheme="minorHAnsi"/>
                          <w:b/>
                          <w:bCs/>
                          <w:i/>
                          <w:iCs/>
                          <w:color w:val="000000"/>
                        </w:rPr>
                        <w:t>o</w:t>
                      </w:r>
                      <w:r>
                        <w:rPr>
                          <w:rStyle w:val="normaltextrun"/>
                          <w:rFonts w:cstheme="minorHAnsi"/>
                          <w:b/>
                          <w:bCs/>
                          <w:i/>
                          <w:iCs/>
                          <w:color w:val="000000"/>
                        </w:rPr>
                        <w:t xml:space="preserve"> you</w:t>
                      </w:r>
                      <w:r w:rsidRPr="00100676">
                        <w:rPr>
                          <w:rStyle w:val="normaltextrun"/>
                          <w:rFonts w:cstheme="minorHAnsi"/>
                          <w:b/>
                          <w:bCs/>
                          <w:i/>
                          <w:iCs/>
                          <w:color w:val="000000"/>
                        </w:rPr>
                        <w:t xml:space="preserve"> </w:t>
                      </w:r>
                      <w:r>
                        <w:rPr>
                          <w:rStyle w:val="normaltextrun"/>
                          <w:rFonts w:cstheme="minorHAnsi"/>
                          <w:b/>
                          <w:bCs/>
                          <w:i/>
                          <w:iCs/>
                          <w:color w:val="000000"/>
                        </w:rPr>
                        <w:t>agree that it is reasonable</w:t>
                      </w:r>
                      <w:r w:rsidRPr="00100676">
                        <w:rPr>
                          <w:rStyle w:val="normaltextrun"/>
                          <w:rFonts w:cstheme="minorHAnsi"/>
                          <w:b/>
                          <w:bCs/>
                          <w:i/>
                          <w:iCs/>
                          <w:color w:val="000000"/>
                        </w:rPr>
                        <w:t xml:space="preserve"> </w:t>
                      </w:r>
                      <w:r>
                        <w:rPr>
                          <w:rStyle w:val="normaltextrun"/>
                          <w:rFonts w:cstheme="minorHAnsi"/>
                          <w:b/>
                          <w:bCs/>
                          <w:i/>
                          <w:iCs/>
                          <w:color w:val="000000"/>
                        </w:rPr>
                        <w:t xml:space="preserve">for </w:t>
                      </w:r>
                      <w:r w:rsidRPr="00100676">
                        <w:rPr>
                          <w:rStyle w:val="normaltextrun"/>
                          <w:rFonts w:cstheme="minorHAnsi"/>
                          <w:b/>
                          <w:bCs/>
                          <w:i/>
                          <w:iCs/>
                          <w:color w:val="000000"/>
                        </w:rPr>
                        <w:t xml:space="preserve">pre-payment </w:t>
                      </w:r>
                      <w:r>
                        <w:rPr>
                          <w:rStyle w:val="normaltextrun"/>
                          <w:rFonts w:cstheme="minorHAnsi"/>
                          <w:b/>
                          <w:bCs/>
                          <w:i/>
                          <w:iCs/>
                          <w:color w:val="000000"/>
                        </w:rPr>
                        <w:t xml:space="preserve">by debit or credit card </w:t>
                      </w:r>
                      <w:r w:rsidRPr="00100676">
                        <w:rPr>
                          <w:rStyle w:val="normaltextrun"/>
                          <w:rFonts w:cstheme="minorHAnsi"/>
                          <w:b/>
                          <w:bCs/>
                          <w:i/>
                          <w:iCs/>
                          <w:color w:val="000000"/>
                        </w:rPr>
                        <w:t xml:space="preserve">for certain </w:t>
                      </w:r>
                      <w:r>
                        <w:rPr>
                          <w:rStyle w:val="normaltextrun"/>
                          <w:rFonts w:cstheme="minorHAnsi"/>
                          <w:b/>
                          <w:bCs/>
                          <w:i/>
                          <w:iCs/>
                          <w:color w:val="000000"/>
                        </w:rPr>
                        <w:t>User types to be mandated during the Renewals process?</w:t>
                      </w:r>
                    </w:p>
                    <w:p w14:paraId="64E828EF" w14:textId="77777777" w:rsidR="007625FD" w:rsidRPr="00D546F9" w:rsidRDefault="007625FD" w:rsidP="006F1314">
                      <w:pPr>
                        <w:jc w:val="both"/>
                        <w:rPr>
                          <w:rStyle w:val="normaltextrun"/>
                          <w:rFonts w:cstheme="minorHAnsi"/>
                          <w:b/>
                          <w:color w:val="000000"/>
                        </w:rPr>
                      </w:pPr>
                      <w:r w:rsidRPr="0076032B">
                        <w:rPr>
                          <w:rStyle w:val="normaltextrun"/>
                          <w:rFonts w:cstheme="minorHAnsi"/>
                          <w:b/>
                          <w:bCs/>
                          <w:color w:val="000000"/>
                        </w:rPr>
                        <w:t>Question</w:t>
                      </w:r>
                      <w:r>
                        <w:rPr>
                          <w:rStyle w:val="normaltextrun"/>
                          <w:rFonts w:cstheme="minorHAnsi"/>
                          <w:b/>
                          <w:bCs/>
                          <w:color w:val="000000"/>
                        </w:rPr>
                        <w:t xml:space="preserve"> 7b: </w:t>
                      </w:r>
                      <w:r w:rsidRPr="002D7CE1">
                        <w:rPr>
                          <w:rStyle w:val="normaltextrun"/>
                          <w:rFonts w:cstheme="minorHAnsi"/>
                          <w:b/>
                          <w:bCs/>
                          <w:i/>
                          <w:iCs/>
                          <w:color w:val="000000"/>
                        </w:rPr>
                        <w:t>If not</w:t>
                      </w:r>
                      <w:r>
                        <w:rPr>
                          <w:rStyle w:val="normaltextrun"/>
                          <w:rFonts w:cstheme="minorHAnsi"/>
                          <w:b/>
                          <w:bCs/>
                          <w:i/>
                          <w:iCs/>
                          <w:color w:val="000000"/>
                        </w:rPr>
                        <w:t>, please articulate your concerns with clear rationale, and a specific alternate approach.</w:t>
                      </w:r>
                    </w:p>
                  </w:txbxContent>
                </v:textbox>
                <w10:wrap type="square" anchorx="margin"/>
              </v:shape>
            </w:pict>
          </mc:Fallback>
        </mc:AlternateContent>
      </w:r>
      <w:r>
        <w:t>Q7 – Termination, Suspension and Renewals</w:t>
      </w:r>
      <w:bookmarkEnd w:id="108"/>
      <w:bookmarkEnd w:id="109"/>
    </w:p>
    <w:p w14:paraId="560A5EB3" w14:textId="77777777" w:rsidR="007625FD" w:rsidRPr="001C2710" w:rsidRDefault="007625FD" w:rsidP="007625FD">
      <w:pPr>
        <w:rPr>
          <w:lang w:val="en-GB"/>
        </w:rPr>
      </w:pPr>
    </w:p>
    <w:p w14:paraId="66DFEA3E" w14:textId="77777777" w:rsidR="007625FD" w:rsidRDefault="007625FD" w:rsidP="007625FD">
      <w:pPr>
        <w:jc w:val="both"/>
        <w:rPr>
          <w:b/>
          <w:bCs/>
          <w:u w:val="single"/>
        </w:rPr>
      </w:pPr>
      <w:r w:rsidRPr="00623841">
        <w:rPr>
          <w:b/>
          <w:bCs/>
          <w:u w:val="single"/>
        </w:rPr>
        <w:t>Supporting Information:</w:t>
      </w:r>
    </w:p>
    <w:p w14:paraId="372A37F9" w14:textId="60E7ACA2" w:rsidR="007625FD" w:rsidRPr="00613EC8" w:rsidRDefault="007625FD" w:rsidP="007625FD">
      <w:pPr>
        <w:jc w:val="both"/>
        <w:rPr>
          <w:rFonts w:ascii="Calibri" w:hAnsi="Calibri" w:cs="Calibri"/>
          <w:color w:val="000000"/>
        </w:rPr>
      </w:pPr>
      <w:r>
        <w:rPr>
          <w:rStyle w:val="normaltextrun"/>
          <w:rFonts w:ascii="Calibri" w:hAnsi="Calibri" w:cs="Calibri"/>
          <w:color w:val="000000"/>
        </w:rPr>
        <w:t>As outlined in the UPI Fee Model Consultation Final Report, the</w:t>
      </w:r>
      <w:r w:rsidRPr="008E271F" w:rsidDel="00896D61">
        <w:rPr>
          <w:rStyle w:val="normaltextrun"/>
          <w:rFonts w:ascii="Calibri" w:hAnsi="Calibri" w:cs="Calibri"/>
          <w:color w:val="000000"/>
        </w:rPr>
        <w:t xml:space="preserve"> </w:t>
      </w:r>
      <w:r>
        <w:rPr>
          <w:rStyle w:val="normaltextrun"/>
          <w:rFonts w:ascii="Calibri" w:hAnsi="Calibri" w:cs="Calibri"/>
          <w:color w:val="000000"/>
        </w:rPr>
        <w:t xml:space="preserve">UPI contractual </w:t>
      </w:r>
      <w:r w:rsidRPr="008E271F">
        <w:rPr>
          <w:rStyle w:val="normaltextrun"/>
          <w:rFonts w:ascii="Calibri" w:hAnsi="Calibri" w:cs="Calibri"/>
          <w:color w:val="000000"/>
        </w:rPr>
        <w:t xml:space="preserve">period </w:t>
      </w:r>
      <w:r>
        <w:rPr>
          <w:rStyle w:val="normaltextrun"/>
          <w:rFonts w:ascii="Calibri" w:hAnsi="Calibri" w:cs="Calibri"/>
          <w:color w:val="000000"/>
        </w:rPr>
        <w:t xml:space="preserve">will be aligned </w:t>
      </w:r>
      <w:r w:rsidRPr="008E271F">
        <w:rPr>
          <w:rStyle w:val="normaltextrun"/>
          <w:rFonts w:ascii="Calibri" w:hAnsi="Calibri" w:cs="Calibri"/>
          <w:color w:val="000000"/>
        </w:rPr>
        <w:t>with the Gregorian calendar. Given the</w:t>
      </w:r>
      <w:r>
        <w:rPr>
          <w:rStyle w:val="normaltextrun"/>
          <w:rFonts w:ascii="Calibri" w:hAnsi="Calibri" w:cs="Calibri"/>
          <w:color w:val="000000"/>
        </w:rPr>
        <w:t xml:space="preserve"> anticipated</w:t>
      </w:r>
      <w:r w:rsidRPr="008E271F">
        <w:rPr>
          <w:rStyle w:val="normaltextrun"/>
          <w:rFonts w:ascii="Calibri" w:hAnsi="Calibri" w:cs="Calibri"/>
          <w:color w:val="000000"/>
        </w:rPr>
        <w:t xml:space="preserve"> intra-year start to the </w:t>
      </w:r>
      <w:r>
        <w:rPr>
          <w:rStyle w:val="normaltextrun"/>
          <w:rFonts w:ascii="Calibri" w:hAnsi="Calibri" w:cs="Calibri"/>
          <w:color w:val="000000"/>
        </w:rPr>
        <w:t>UPI S</w:t>
      </w:r>
      <w:r w:rsidRPr="008E271F">
        <w:rPr>
          <w:rStyle w:val="normaltextrun"/>
          <w:rFonts w:ascii="Calibri" w:hAnsi="Calibri" w:cs="Calibri"/>
          <w:color w:val="000000"/>
        </w:rPr>
        <w:t xml:space="preserve">ervice, </w:t>
      </w:r>
      <w:r w:rsidRPr="008E271F" w:rsidDel="003478DD">
        <w:rPr>
          <w:rStyle w:val="normaltextrun"/>
          <w:rFonts w:ascii="Calibri" w:hAnsi="Calibri" w:cs="Calibri"/>
          <w:color w:val="000000"/>
        </w:rPr>
        <w:t xml:space="preserve">the </w:t>
      </w:r>
      <w:r w:rsidRPr="008E271F">
        <w:rPr>
          <w:rStyle w:val="normaltextrun"/>
          <w:rFonts w:ascii="Calibri" w:hAnsi="Calibri" w:cs="Calibri"/>
          <w:color w:val="000000"/>
        </w:rPr>
        <w:t xml:space="preserve">duration of the first </w:t>
      </w:r>
      <w:r>
        <w:rPr>
          <w:rStyle w:val="normaltextrun"/>
          <w:rFonts w:ascii="Calibri" w:hAnsi="Calibri" w:cs="Calibri"/>
          <w:color w:val="000000"/>
        </w:rPr>
        <w:t xml:space="preserve">contractual period will </w:t>
      </w:r>
      <w:r w:rsidRPr="008E271F">
        <w:rPr>
          <w:rStyle w:val="normaltextrun"/>
          <w:rFonts w:ascii="Calibri" w:hAnsi="Calibri" w:cs="Calibri"/>
          <w:color w:val="000000"/>
        </w:rPr>
        <w:t xml:space="preserve">be shorter than the standard 12 months, </w:t>
      </w:r>
      <w:r w:rsidR="00E82812" w:rsidRPr="008E271F">
        <w:rPr>
          <w:rStyle w:val="normaltextrun"/>
          <w:rFonts w:ascii="Calibri" w:hAnsi="Calibri" w:cs="Calibri"/>
          <w:color w:val="000000"/>
        </w:rPr>
        <w:t>to</w:t>
      </w:r>
      <w:r w:rsidRPr="008E271F">
        <w:rPr>
          <w:rStyle w:val="normaltextrun"/>
          <w:rFonts w:ascii="Calibri" w:hAnsi="Calibri" w:cs="Calibri"/>
          <w:color w:val="000000"/>
        </w:rPr>
        <w:t xml:space="preserve"> align all subsequent </w:t>
      </w:r>
      <w:r>
        <w:rPr>
          <w:rStyle w:val="normaltextrun"/>
          <w:rFonts w:ascii="Calibri" w:hAnsi="Calibri" w:cs="Calibri"/>
          <w:color w:val="000000"/>
        </w:rPr>
        <w:t>contractual periods</w:t>
      </w:r>
      <w:r w:rsidRPr="008E271F">
        <w:rPr>
          <w:rStyle w:val="normaltextrun"/>
          <w:rFonts w:ascii="Calibri" w:hAnsi="Calibri" w:cs="Calibri"/>
          <w:color w:val="000000"/>
        </w:rPr>
        <w:t xml:space="preserve"> with the Gregorian calendar year. </w:t>
      </w:r>
      <w:r>
        <w:rPr>
          <w:rStyle w:val="normaltextrun"/>
          <w:rFonts w:ascii="Calibri" w:hAnsi="Calibri" w:cs="Calibri"/>
          <w:color w:val="000000"/>
        </w:rPr>
        <w:t>This is expected to result in a proportional reduction in the initial fee to compensate for the shorter duration. User</w:t>
      </w:r>
      <w:r w:rsidRPr="008E271F">
        <w:rPr>
          <w:rStyle w:val="normaltextrun"/>
          <w:rFonts w:ascii="Calibri" w:hAnsi="Calibri" w:cs="Calibri"/>
          <w:color w:val="000000"/>
        </w:rPr>
        <w:t xml:space="preserve">s who wish to continue to utilise UPI </w:t>
      </w:r>
      <w:r>
        <w:rPr>
          <w:rStyle w:val="normaltextrun"/>
          <w:rFonts w:ascii="Calibri" w:hAnsi="Calibri" w:cs="Calibri"/>
          <w:color w:val="000000"/>
        </w:rPr>
        <w:t>S</w:t>
      </w:r>
      <w:r w:rsidRPr="008E271F">
        <w:rPr>
          <w:rStyle w:val="normaltextrun"/>
          <w:rFonts w:ascii="Calibri" w:hAnsi="Calibri" w:cs="Calibri"/>
          <w:color w:val="000000"/>
        </w:rPr>
        <w:t xml:space="preserve">ervices at the end of the initial </w:t>
      </w:r>
      <w:r>
        <w:rPr>
          <w:rStyle w:val="normaltextrun"/>
          <w:rFonts w:ascii="Calibri" w:hAnsi="Calibri" w:cs="Calibri"/>
          <w:color w:val="000000"/>
        </w:rPr>
        <w:t>contractual</w:t>
      </w:r>
      <w:r w:rsidRPr="008E271F">
        <w:rPr>
          <w:rStyle w:val="normaltextrun"/>
          <w:rFonts w:ascii="Calibri" w:hAnsi="Calibri" w:cs="Calibri"/>
          <w:color w:val="000000"/>
        </w:rPr>
        <w:t xml:space="preserve"> period will roll into a renewal period of a full Gregorian calendar year.</w:t>
      </w:r>
    </w:p>
    <w:p w14:paraId="69B21110" w14:textId="77777777" w:rsidR="007625FD" w:rsidRDefault="007625FD" w:rsidP="007625FD">
      <w:pPr>
        <w:jc w:val="both"/>
        <w:rPr>
          <w:lang w:val="en-GB"/>
        </w:rPr>
      </w:pPr>
      <w:r>
        <w:rPr>
          <w:lang w:val="en-GB"/>
        </w:rPr>
        <w:t>In line with</w:t>
      </w:r>
      <w:r w:rsidRPr="004F0B38">
        <w:rPr>
          <w:lang w:val="en-GB"/>
        </w:rPr>
        <w:t xml:space="preserve"> the existing </w:t>
      </w:r>
      <w:r>
        <w:rPr>
          <w:lang w:val="en-GB"/>
        </w:rPr>
        <w:t>OTC</w:t>
      </w:r>
      <w:r w:rsidRPr="004F0B38">
        <w:rPr>
          <w:lang w:val="en-GB"/>
        </w:rPr>
        <w:t xml:space="preserve"> ISIN </w:t>
      </w:r>
      <w:r>
        <w:rPr>
          <w:lang w:val="en-GB"/>
        </w:rPr>
        <w:t>S</w:t>
      </w:r>
      <w:r w:rsidRPr="004F0B38">
        <w:rPr>
          <w:lang w:val="en-GB"/>
        </w:rPr>
        <w:t>ervice, UPI contracts will auto-renew on an annual basis.</w:t>
      </w:r>
      <w:r>
        <w:rPr>
          <w:lang w:val="en-GB"/>
        </w:rPr>
        <w:t xml:space="preserve"> </w:t>
      </w:r>
      <w:r w:rsidRPr="004F0B38">
        <w:rPr>
          <w:lang w:val="en-GB"/>
        </w:rPr>
        <w:t xml:space="preserve">Clients will </w:t>
      </w:r>
      <w:r>
        <w:rPr>
          <w:lang w:val="en-GB"/>
        </w:rPr>
        <w:t xml:space="preserve">continue to </w:t>
      </w:r>
      <w:r w:rsidRPr="004F0B38">
        <w:rPr>
          <w:lang w:val="en-GB"/>
        </w:rPr>
        <w:t>be given a 90-day notice period in which they are able to terminate their contract</w:t>
      </w:r>
      <w:r>
        <w:rPr>
          <w:lang w:val="en-GB"/>
        </w:rPr>
        <w:t xml:space="preserve"> before auto-renewal.</w:t>
      </w:r>
    </w:p>
    <w:p w14:paraId="6F458932" w14:textId="77777777" w:rsidR="007625FD" w:rsidRDefault="007625FD" w:rsidP="007625FD">
      <w:pPr>
        <w:jc w:val="both"/>
        <w:rPr>
          <w:lang w:val="en-GB"/>
        </w:rPr>
      </w:pPr>
      <w:r w:rsidRPr="004F0B38">
        <w:rPr>
          <w:lang w:val="en-GB"/>
        </w:rPr>
        <w:t xml:space="preserve">If there is no response from the client, it </w:t>
      </w:r>
      <w:r>
        <w:rPr>
          <w:lang w:val="en-GB"/>
        </w:rPr>
        <w:t xml:space="preserve">will be </w:t>
      </w:r>
      <w:r w:rsidRPr="004F0B38">
        <w:rPr>
          <w:lang w:val="en-GB"/>
        </w:rPr>
        <w:t>assumed that the client wishes to renew</w:t>
      </w:r>
      <w:r>
        <w:rPr>
          <w:lang w:val="en-GB"/>
        </w:rPr>
        <w:t xml:space="preserve"> as no termination notice has been provided, and an invoice will be issued.</w:t>
      </w:r>
    </w:p>
    <w:p w14:paraId="3E7DF111" w14:textId="77777777" w:rsidR="00B31430" w:rsidRDefault="00B31430">
      <w:pPr>
        <w:rPr>
          <w:b/>
          <w:u w:val="single"/>
          <w:lang w:val="en-GB"/>
        </w:rPr>
      </w:pPr>
      <w:r>
        <w:rPr>
          <w:b/>
          <w:u w:val="single"/>
          <w:lang w:val="en-GB"/>
        </w:rPr>
        <w:br w:type="page"/>
      </w:r>
    </w:p>
    <w:p w14:paraId="59AD4311" w14:textId="689886F2" w:rsidR="007625FD" w:rsidRPr="0063571E" w:rsidRDefault="007625FD" w:rsidP="007625FD">
      <w:pPr>
        <w:rPr>
          <w:b/>
          <w:u w:val="single"/>
          <w:lang w:val="en-GB"/>
        </w:rPr>
      </w:pPr>
      <w:r w:rsidRPr="0063571E">
        <w:rPr>
          <w:b/>
          <w:u w:val="single"/>
          <w:lang w:val="en-GB"/>
        </w:rPr>
        <w:lastRenderedPageBreak/>
        <w:t xml:space="preserve">DSB </w:t>
      </w:r>
      <w:r w:rsidR="00C47854">
        <w:rPr>
          <w:b/>
          <w:u w:val="single"/>
          <w:lang w:val="en-GB"/>
        </w:rPr>
        <w:t>Proposal</w:t>
      </w:r>
      <w:r w:rsidRPr="0063571E">
        <w:rPr>
          <w:b/>
          <w:u w:val="single"/>
          <w:lang w:val="en-GB"/>
        </w:rPr>
        <w:t>:</w:t>
      </w:r>
    </w:p>
    <w:p w14:paraId="66F2BF69" w14:textId="309BEFAF" w:rsidR="007625FD" w:rsidRDefault="007625FD" w:rsidP="00BC5A92">
      <w:pPr>
        <w:spacing w:after="120"/>
        <w:jc w:val="both"/>
        <w:rPr>
          <w:lang w:val="en-GB"/>
        </w:rPr>
      </w:pPr>
      <w:r>
        <w:rPr>
          <w:lang w:val="en-GB"/>
        </w:rPr>
        <w:t>As previously stated,</w:t>
      </w:r>
      <w:r w:rsidRPr="004E6D5A">
        <w:t xml:space="preserve"> changes proposed by the DSB are largely structural and process related. They affect the way in which </w:t>
      </w:r>
      <w:proofErr w:type="gramStart"/>
      <w:r>
        <w:t>Users</w:t>
      </w:r>
      <w:proofErr w:type="gramEnd"/>
      <w:r w:rsidRPr="0016516C">
        <w:t xml:space="preserve"> </w:t>
      </w:r>
      <w:r w:rsidRPr="004E6D5A">
        <w:t>contract with the DSB and the way in which the resulting agreements are documented rather than impacting their legal rights and obligations.</w:t>
      </w:r>
    </w:p>
    <w:p w14:paraId="09A60FFD" w14:textId="77777777" w:rsidR="007625FD" w:rsidRPr="00CB15B9" w:rsidRDefault="007625FD" w:rsidP="00BC5A92">
      <w:pPr>
        <w:jc w:val="both"/>
        <w:rPr>
          <w:lang w:val="en-GB"/>
        </w:rPr>
      </w:pPr>
      <w:r>
        <w:rPr>
          <w:lang w:val="en-GB"/>
        </w:rPr>
        <w:t xml:space="preserve">The main provisions of the existing </w:t>
      </w:r>
      <w:r>
        <w:t xml:space="preserve">DSB Access and Usage </w:t>
      </w:r>
      <w:r>
        <w:rPr>
          <w:lang w:val="en-GB"/>
        </w:rPr>
        <w:t>Agreement</w:t>
      </w:r>
      <w:r>
        <w:rPr>
          <w:rStyle w:val="FootnoteReference"/>
          <w:lang w:val="en-GB"/>
        </w:rPr>
        <w:footnoteReference w:id="53"/>
      </w:r>
      <w:r>
        <w:rPr>
          <w:lang w:val="en-GB"/>
        </w:rPr>
        <w:t xml:space="preserve"> will persist:</w:t>
      </w:r>
    </w:p>
    <w:p w14:paraId="42C02584" w14:textId="6FCFD241" w:rsidR="007625FD" w:rsidRPr="00CB15B9" w:rsidRDefault="007625FD" w:rsidP="00BC5A92">
      <w:pPr>
        <w:pStyle w:val="ListParagraph"/>
        <w:numPr>
          <w:ilvl w:val="0"/>
          <w:numId w:val="23"/>
        </w:numPr>
        <w:autoSpaceDE/>
        <w:autoSpaceDN/>
        <w:adjustRightInd/>
        <w:spacing w:before="0" w:after="160" w:line="276" w:lineRule="auto"/>
        <w:ind w:right="0"/>
        <w:contextualSpacing/>
        <w:jc w:val="both"/>
        <w:rPr>
          <w:sz w:val="22"/>
          <w:szCs w:val="22"/>
        </w:rPr>
      </w:pPr>
      <w:r w:rsidRPr="00CB15B9">
        <w:rPr>
          <w:sz w:val="22"/>
          <w:szCs w:val="22"/>
        </w:rPr>
        <w:t xml:space="preserve">The principle of payment in advance is unchanged, as per </w:t>
      </w:r>
      <w:r w:rsidR="001A7D1D">
        <w:rPr>
          <w:sz w:val="22"/>
          <w:szCs w:val="22"/>
        </w:rPr>
        <w:t>clause</w:t>
      </w:r>
      <w:r w:rsidR="001A7D1D" w:rsidRPr="00CB15B9">
        <w:rPr>
          <w:sz w:val="22"/>
          <w:szCs w:val="22"/>
        </w:rPr>
        <w:t xml:space="preserve"> </w:t>
      </w:r>
      <w:r w:rsidRPr="00CB15B9">
        <w:rPr>
          <w:sz w:val="22"/>
          <w:szCs w:val="22"/>
        </w:rPr>
        <w:t>9 ‘Fees’ of the existing DSB Access and Usage Agreement.</w:t>
      </w:r>
    </w:p>
    <w:p w14:paraId="606C132A" w14:textId="12C1EBDF" w:rsidR="007625FD" w:rsidRPr="00CB15B9" w:rsidRDefault="007625FD" w:rsidP="00BC5A92">
      <w:pPr>
        <w:pStyle w:val="ListParagraph"/>
        <w:numPr>
          <w:ilvl w:val="0"/>
          <w:numId w:val="23"/>
        </w:numPr>
        <w:autoSpaceDE/>
        <w:autoSpaceDN/>
        <w:adjustRightInd/>
        <w:spacing w:before="0" w:after="160" w:line="276" w:lineRule="auto"/>
        <w:ind w:right="0"/>
        <w:contextualSpacing/>
        <w:jc w:val="both"/>
        <w:rPr>
          <w:sz w:val="22"/>
          <w:szCs w:val="22"/>
        </w:rPr>
      </w:pPr>
      <w:r w:rsidRPr="00CB15B9">
        <w:rPr>
          <w:sz w:val="22"/>
          <w:szCs w:val="22"/>
        </w:rPr>
        <w:t xml:space="preserve">The existing Termination provisions also remain relevant, as per </w:t>
      </w:r>
      <w:r w:rsidR="001A7D1D">
        <w:rPr>
          <w:sz w:val="22"/>
          <w:szCs w:val="22"/>
        </w:rPr>
        <w:t>clause</w:t>
      </w:r>
      <w:r w:rsidR="001A7D1D" w:rsidRPr="00CB15B9">
        <w:rPr>
          <w:sz w:val="22"/>
          <w:szCs w:val="22"/>
        </w:rPr>
        <w:t xml:space="preserve"> </w:t>
      </w:r>
      <w:r w:rsidRPr="00CB15B9">
        <w:rPr>
          <w:sz w:val="22"/>
          <w:szCs w:val="22"/>
        </w:rPr>
        <w:t>16 ‘Termination and Suspension’ of the existing DSB Access and Usage Agreement.</w:t>
      </w:r>
    </w:p>
    <w:p w14:paraId="2D2826C6" w14:textId="1B43ABF6" w:rsidR="007625FD" w:rsidRPr="00760E35" w:rsidRDefault="007625FD" w:rsidP="00BC5A92">
      <w:pPr>
        <w:jc w:val="both"/>
        <w:rPr>
          <w:lang w:val="en-GB"/>
        </w:rPr>
      </w:pPr>
      <w:r w:rsidRPr="00CB15B9">
        <w:rPr>
          <w:lang w:val="en-GB"/>
        </w:rPr>
        <w:t xml:space="preserve">For certain </w:t>
      </w:r>
      <w:r w:rsidRPr="00CB15B9" w:rsidDel="00D3207B">
        <w:rPr>
          <w:lang w:val="en-GB"/>
        </w:rPr>
        <w:t>User</w:t>
      </w:r>
      <w:r w:rsidRPr="00CB15B9">
        <w:rPr>
          <w:lang w:val="en-GB"/>
        </w:rPr>
        <w:t xml:space="preserve"> Type(s) and fee levels, as for initial UPI onboarding, the DSB intends to require onlin</w:t>
      </w:r>
      <w:r w:rsidRPr="00760E35">
        <w:rPr>
          <w:lang w:val="en-GB"/>
        </w:rPr>
        <w:t xml:space="preserve">e pre-payment by debit or credit card at the point of renewal to the </w:t>
      </w:r>
      <w:r w:rsidR="00F07F21">
        <w:rPr>
          <w:lang w:val="en-GB"/>
        </w:rPr>
        <w:t>UPI Service</w:t>
      </w:r>
      <w:r w:rsidRPr="00760E35">
        <w:rPr>
          <w:lang w:val="en-GB"/>
        </w:rPr>
        <w:t xml:space="preserve">. </w:t>
      </w:r>
    </w:p>
    <w:p w14:paraId="78643EB6" w14:textId="77777777" w:rsidR="007625FD" w:rsidRPr="00760E35" w:rsidRDefault="007625FD" w:rsidP="00BC5A92">
      <w:pPr>
        <w:jc w:val="both"/>
        <w:rPr>
          <w:lang w:val="en-GB"/>
        </w:rPr>
      </w:pPr>
      <w:r w:rsidRPr="00760E35">
        <w:rPr>
          <w:lang w:val="en-GB"/>
        </w:rPr>
        <w:t xml:space="preserve">An online invoice will be provided to all clients with the relevant payment deadline (based on </w:t>
      </w:r>
      <w:r w:rsidRPr="00760E35" w:rsidDel="00D3207B">
        <w:rPr>
          <w:lang w:val="en-GB"/>
        </w:rPr>
        <w:t>User</w:t>
      </w:r>
      <w:r w:rsidRPr="00760E35">
        <w:rPr>
          <w:lang w:val="en-GB"/>
        </w:rPr>
        <w:t xml:space="preserve"> Type), with notifications sent in advance.</w:t>
      </w:r>
    </w:p>
    <w:p w14:paraId="38C6C294" w14:textId="77777777" w:rsidR="007625FD" w:rsidRPr="00760E35" w:rsidRDefault="007625FD" w:rsidP="00BC5A92">
      <w:pPr>
        <w:jc w:val="both"/>
        <w:rPr>
          <w:lang w:val="en-GB"/>
        </w:rPr>
      </w:pPr>
      <w:r w:rsidRPr="00760E35">
        <w:rPr>
          <w:lang w:val="en-GB"/>
        </w:rPr>
        <w:t xml:space="preserve">Indicatively the sequence </w:t>
      </w:r>
      <w:proofErr w:type="gramStart"/>
      <w:r w:rsidRPr="00760E35">
        <w:rPr>
          <w:lang w:val="en-GB"/>
        </w:rPr>
        <w:t>in a given</w:t>
      </w:r>
      <w:proofErr w:type="gramEnd"/>
      <w:r w:rsidRPr="00760E35">
        <w:rPr>
          <w:lang w:val="en-GB"/>
        </w:rPr>
        <w:t xml:space="preserve"> annual cycle would be as follows:</w:t>
      </w:r>
    </w:p>
    <w:p w14:paraId="3C238859" w14:textId="77777777" w:rsidR="007625FD" w:rsidRPr="00CB15B9" w:rsidRDefault="007625FD" w:rsidP="00BC5A92">
      <w:pPr>
        <w:pStyle w:val="ListParagraph"/>
        <w:numPr>
          <w:ilvl w:val="0"/>
          <w:numId w:val="14"/>
        </w:numPr>
        <w:autoSpaceDE/>
        <w:autoSpaceDN/>
        <w:adjustRightInd/>
        <w:spacing w:before="0" w:after="160" w:line="276" w:lineRule="auto"/>
        <w:ind w:right="0"/>
        <w:contextualSpacing/>
        <w:jc w:val="both"/>
        <w:rPr>
          <w:sz w:val="22"/>
          <w:szCs w:val="22"/>
        </w:rPr>
      </w:pPr>
      <w:r w:rsidRPr="00CB15B9">
        <w:rPr>
          <w:sz w:val="22"/>
          <w:szCs w:val="22"/>
        </w:rPr>
        <w:t>Termination deadline</w:t>
      </w:r>
    </w:p>
    <w:p w14:paraId="3A329D57" w14:textId="77777777" w:rsidR="007625FD" w:rsidRPr="00CB15B9" w:rsidRDefault="007625FD" w:rsidP="00BC5A92">
      <w:pPr>
        <w:pStyle w:val="ListParagraph"/>
        <w:numPr>
          <w:ilvl w:val="1"/>
          <w:numId w:val="14"/>
        </w:numPr>
        <w:autoSpaceDE/>
        <w:autoSpaceDN/>
        <w:adjustRightInd/>
        <w:spacing w:before="0" w:after="160" w:line="276" w:lineRule="auto"/>
        <w:ind w:right="0"/>
        <w:contextualSpacing/>
        <w:jc w:val="both"/>
        <w:rPr>
          <w:sz w:val="22"/>
          <w:szCs w:val="22"/>
        </w:rPr>
      </w:pPr>
      <w:r w:rsidRPr="00CB15B9">
        <w:rPr>
          <w:sz w:val="22"/>
          <w:szCs w:val="22"/>
        </w:rPr>
        <w:t>Existing clients are required to provide 90-day notice of termination if they do not wish to renew for the following annual contractual period</w:t>
      </w:r>
    </w:p>
    <w:p w14:paraId="42CAF8BC" w14:textId="77777777" w:rsidR="007625FD" w:rsidRPr="00CB15B9" w:rsidRDefault="007625FD" w:rsidP="00BC5A92">
      <w:pPr>
        <w:pStyle w:val="ListParagraph"/>
        <w:numPr>
          <w:ilvl w:val="0"/>
          <w:numId w:val="14"/>
        </w:numPr>
        <w:autoSpaceDE/>
        <w:autoSpaceDN/>
        <w:adjustRightInd/>
        <w:spacing w:before="0" w:after="160" w:line="276" w:lineRule="auto"/>
        <w:ind w:right="0"/>
        <w:contextualSpacing/>
        <w:jc w:val="both"/>
        <w:rPr>
          <w:sz w:val="22"/>
          <w:szCs w:val="22"/>
        </w:rPr>
      </w:pPr>
      <w:r w:rsidRPr="00CB15B9">
        <w:rPr>
          <w:sz w:val="22"/>
          <w:szCs w:val="22"/>
        </w:rPr>
        <w:t>Annual fee determination and publication</w:t>
      </w:r>
    </w:p>
    <w:p w14:paraId="7FB50DDF" w14:textId="77777777" w:rsidR="007625FD" w:rsidRPr="00CB15B9" w:rsidRDefault="007625FD" w:rsidP="00BC5A92">
      <w:pPr>
        <w:pStyle w:val="ListParagraph"/>
        <w:numPr>
          <w:ilvl w:val="1"/>
          <w:numId w:val="14"/>
        </w:numPr>
        <w:autoSpaceDE/>
        <w:autoSpaceDN/>
        <w:adjustRightInd/>
        <w:spacing w:before="0" w:after="160" w:line="276" w:lineRule="auto"/>
        <w:ind w:right="0"/>
        <w:contextualSpacing/>
        <w:jc w:val="both"/>
        <w:rPr>
          <w:sz w:val="22"/>
          <w:szCs w:val="22"/>
        </w:rPr>
      </w:pPr>
      <w:r w:rsidRPr="00CB15B9">
        <w:rPr>
          <w:sz w:val="22"/>
          <w:szCs w:val="22"/>
        </w:rPr>
        <w:t>Fees are set for the following annual contractual period and Users are notified</w:t>
      </w:r>
    </w:p>
    <w:p w14:paraId="5FE23273" w14:textId="77777777" w:rsidR="007625FD" w:rsidRPr="00CB15B9" w:rsidRDefault="007625FD" w:rsidP="00BC5A92">
      <w:pPr>
        <w:pStyle w:val="ListParagraph"/>
        <w:numPr>
          <w:ilvl w:val="0"/>
          <w:numId w:val="14"/>
        </w:numPr>
        <w:autoSpaceDE/>
        <w:autoSpaceDN/>
        <w:adjustRightInd/>
        <w:spacing w:before="0" w:after="160" w:line="276" w:lineRule="auto"/>
        <w:ind w:right="0"/>
        <w:contextualSpacing/>
        <w:jc w:val="both"/>
        <w:rPr>
          <w:sz w:val="22"/>
          <w:szCs w:val="22"/>
        </w:rPr>
      </w:pPr>
      <w:r w:rsidRPr="00CB15B9">
        <w:rPr>
          <w:sz w:val="22"/>
          <w:szCs w:val="22"/>
        </w:rPr>
        <w:t>Invoice issuance and payment</w:t>
      </w:r>
    </w:p>
    <w:p w14:paraId="03B64B29" w14:textId="77777777" w:rsidR="007625FD" w:rsidRPr="00CB15B9" w:rsidRDefault="007625FD" w:rsidP="00BC5A92">
      <w:pPr>
        <w:pStyle w:val="ListParagraph"/>
        <w:numPr>
          <w:ilvl w:val="1"/>
          <w:numId w:val="14"/>
        </w:numPr>
        <w:autoSpaceDE/>
        <w:autoSpaceDN/>
        <w:adjustRightInd/>
        <w:spacing w:before="0" w:after="160" w:line="276" w:lineRule="auto"/>
        <w:ind w:right="0"/>
        <w:contextualSpacing/>
        <w:jc w:val="both"/>
        <w:rPr>
          <w:sz w:val="22"/>
          <w:szCs w:val="22"/>
        </w:rPr>
      </w:pPr>
      <w:r w:rsidRPr="00CB15B9">
        <w:rPr>
          <w:sz w:val="22"/>
          <w:szCs w:val="22"/>
        </w:rPr>
        <w:t>Pre-payment clients are sent invoices requesting payment (30 days payment terms), including a link to the pre-payment page on the COSP</w:t>
      </w:r>
    </w:p>
    <w:p w14:paraId="036E0E28" w14:textId="4CAF0375" w:rsidR="007625FD" w:rsidRPr="00CB15B9" w:rsidRDefault="007625FD" w:rsidP="00BC5A92">
      <w:pPr>
        <w:pStyle w:val="ListParagraph"/>
        <w:numPr>
          <w:ilvl w:val="2"/>
          <w:numId w:val="14"/>
        </w:numPr>
        <w:autoSpaceDE/>
        <w:autoSpaceDN/>
        <w:adjustRightInd/>
        <w:spacing w:before="0" w:after="160" w:line="276" w:lineRule="auto"/>
        <w:ind w:right="0"/>
        <w:contextualSpacing/>
        <w:jc w:val="both"/>
        <w:rPr>
          <w:sz w:val="22"/>
          <w:szCs w:val="22"/>
        </w:rPr>
      </w:pPr>
      <w:r w:rsidRPr="00CB15B9">
        <w:rPr>
          <w:sz w:val="22"/>
          <w:szCs w:val="22"/>
        </w:rPr>
        <w:t xml:space="preserve">If payment is not received, </w:t>
      </w:r>
      <w:r w:rsidRPr="00CB15B9" w:rsidDel="00386410">
        <w:rPr>
          <w:sz w:val="22"/>
          <w:szCs w:val="22"/>
        </w:rPr>
        <w:t xml:space="preserve">access to </w:t>
      </w:r>
      <w:r w:rsidRPr="00CB15B9">
        <w:rPr>
          <w:sz w:val="22"/>
          <w:szCs w:val="22"/>
        </w:rPr>
        <w:t xml:space="preserve">the </w:t>
      </w:r>
      <w:r w:rsidR="00F07F21">
        <w:rPr>
          <w:sz w:val="22"/>
          <w:szCs w:val="22"/>
        </w:rPr>
        <w:t>UPI Service</w:t>
      </w:r>
      <w:r w:rsidRPr="00CB15B9">
        <w:rPr>
          <w:sz w:val="22"/>
          <w:szCs w:val="22"/>
        </w:rPr>
        <w:t xml:space="preserve"> will be suspended </w:t>
      </w:r>
    </w:p>
    <w:p w14:paraId="3021D918" w14:textId="77777777" w:rsidR="007625FD" w:rsidRPr="00CB15B9" w:rsidRDefault="007625FD" w:rsidP="00BC5A92">
      <w:pPr>
        <w:pStyle w:val="ListParagraph"/>
        <w:numPr>
          <w:ilvl w:val="1"/>
          <w:numId w:val="14"/>
        </w:numPr>
        <w:autoSpaceDE/>
        <w:autoSpaceDN/>
        <w:adjustRightInd/>
        <w:spacing w:before="0" w:after="160" w:line="276" w:lineRule="auto"/>
        <w:ind w:right="0"/>
        <w:contextualSpacing/>
        <w:jc w:val="both"/>
        <w:rPr>
          <w:sz w:val="22"/>
          <w:szCs w:val="22"/>
        </w:rPr>
      </w:pPr>
      <w:r w:rsidRPr="00CB15B9">
        <w:rPr>
          <w:sz w:val="22"/>
          <w:szCs w:val="22"/>
        </w:rPr>
        <w:t xml:space="preserve">Clients on invoicing terms are sent invoices (30 days payment terms with an additional 30-day extension)  </w:t>
      </w:r>
    </w:p>
    <w:p w14:paraId="1D9228EA" w14:textId="1D6A2C80" w:rsidR="007625FD" w:rsidRPr="00CB15B9" w:rsidRDefault="007625FD" w:rsidP="00BC5A92">
      <w:pPr>
        <w:pStyle w:val="ListParagraph"/>
        <w:numPr>
          <w:ilvl w:val="2"/>
          <w:numId w:val="14"/>
        </w:numPr>
        <w:autoSpaceDE/>
        <w:autoSpaceDN/>
        <w:adjustRightInd/>
        <w:spacing w:before="0" w:after="160" w:line="276" w:lineRule="auto"/>
        <w:ind w:right="0"/>
        <w:contextualSpacing/>
        <w:jc w:val="both"/>
        <w:rPr>
          <w:sz w:val="22"/>
          <w:szCs w:val="22"/>
        </w:rPr>
      </w:pPr>
      <w:r w:rsidRPr="00CB15B9">
        <w:rPr>
          <w:sz w:val="22"/>
          <w:szCs w:val="22"/>
        </w:rPr>
        <w:t xml:space="preserve">If payment is not received by the 30-day extension, access to the </w:t>
      </w:r>
      <w:r w:rsidR="00F07F21">
        <w:rPr>
          <w:sz w:val="22"/>
          <w:szCs w:val="22"/>
        </w:rPr>
        <w:t>UPI Service</w:t>
      </w:r>
      <w:r w:rsidRPr="00CB15B9">
        <w:rPr>
          <w:sz w:val="22"/>
          <w:szCs w:val="22"/>
        </w:rPr>
        <w:t xml:space="preserve"> may be suspended</w:t>
      </w:r>
    </w:p>
    <w:p w14:paraId="0B385F85" w14:textId="0D4E7380" w:rsidR="007625FD" w:rsidRDefault="007625FD" w:rsidP="00BC5A92">
      <w:pPr>
        <w:jc w:val="both"/>
        <w:rPr>
          <w:lang w:val="en-GB"/>
        </w:rPr>
      </w:pPr>
      <w:r>
        <w:rPr>
          <w:lang w:val="en-GB"/>
        </w:rPr>
        <w:t>In line with the DSB Charges Policy, f</w:t>
      </w:r>
      <w:r w:rsidRPr="004F0B38">
        <w:rPr>
          <w:lang w:val="en-GB"/>
        </w:rPr>
        <w:t xml:space="preserve">ees for the OTC ISIN </w:t>
      </w:r>
      <w:r>
        <w:rPr>
          <w:lang w:val="en-GB"/>
        </w:rPr>
        <w:t>S</w:t>
      </w:r>
      <w:r w:rsidRPr="004F0B38">
        <w:rPr>
          <w:lang w:val="en-GB"/>
        </w:rPr>
        <w:t xml:space="preserve">ervice are </w:t>
      </w:r>
      <w:r w:rsidR="00F45EDD">
        <w:rPr>
          <w:lang w:val="en-GB"/>
        </w:rPr>
        <w:t xml:space="preserve">determined </w:t>
      </w:r>
      <w:r w:rsidRPr="004F0B38">
        <w:rPr>
          <w:lang w:val="en-GB"/>
        </w:rPr>
        <w:t xml:space="preserve">based on known entities rolling </w:t>
      </w:r>
      <w:r w:rsidR="0037062D">
        <w:rPr>
          <w:lang w:val="en-GB"/>
        </w:rPr>
        <w:t xml:space="preserve">into a renewal period </w:t>
      </w:r>
      <w:r w:rsidR="00F92170">
        <w:rPr>
          <w:lang w:val="en-GB"/>
        </w:rPr>
        <w:t xml:space="preserve">following </w:t>
      </w:r>
      <w:r w:rsidR="00BE7AD4">
        <w:rPr>
          <w:lang w:val="en-GB"/>
        </w:rPr>
        <w:t xml:space="preserve">the </w:t>
      </w:r>
      <w:r w:rsidR="0037062D">
        <w:rPr>
          <w:lang w:val="en-GB"/>
        </w:rPr>
        <w:t xml:space="preserve">closure of </w:t>
      </w:r>
      <w:r w:rsidR="00BE7AD4">
        <w:rPr>
          <w:lang w:val="en-GB"/>
        </w:rPr>
        <w:t xml:space="preserve">termination </w:t>
      </w:r>
      <w:r w:rsidR="00FC3AFD">
        <w:rPr>
          <w:lang w:val="en-GB"/>
        </w:rPr>
        <w:t xml:space="preserve">period </w:t>
      </w:r>
      <w:r w:rsidRPr="004F0B38">
        <w:rPr>
          <w:lang w:val="en-GB"/>
        </w:rPr>
        <w:t xml:space="preserve">each year. </w:t>
      </w:r>
    </w:p>
    <w:p w14:paraId="0CB521E0" w14:textId="636C608A" w:rsidR="007625FD" w:rsidRDefault="007625FD" w:rsidP="00BC5A92">
      <w:pPr>
        <w:jc w:val="both"/>
        <w:rPr>
          <w:lang w:val="en-GB"/>
        </w:rPr>
      </w:pPr>
      <w:r w:rsidRPr="00906380">
        <w:rPr>
          <w:lang w:val="en-GB"/>
        </w:rPr>
        <w:t xml:space="preserve">The fees collected from additional Users who subscribe </w:t>
      </w:r>
      <w:r w:rsidR="00446925" w:rsidRPr="00906380">
        <w:rPr>
          <w:lang w:val="en-GB"/>
        </w:rPr>
        <w:t>following</w:t>
      </w:r>
      <w:r w:rsidR="00AB6D5E">
        <w:rPr>
          <w:lang w:val="en-GB"/>
        </w:rPr>
        <w:t xml:space="preserve"> the fee determination</w:t>
      </w:r>
      <w:r w:rsidR="00AB6D5E" w:rsidRPr="00906380">
        <w:rPr>
          <w:lang w:val="en-GB"/>
        </w:rPr>
        <w:t xml:space="preserve"> </w:t>
      </w:r>
      <w:r w:rsidRPr="00906380">
        <w:rPr>
          <w:lang w:val="en-GB"/>
        </w:rPr>
        <w:t xml:space="preserve">date will generate </w:t>
      </w:r>
      <w:r>
        <w:rPr>
          <w:lang w:val="en-GB"/>
        </w:rPr>
        <w:t>E</w:t>
      </w:r>
      <w:r w:rsidRPr="00906380">
        <w:rPr>
          <w:lang w:val="en-GB"/>
        </w:rPr>
        <w:t xml:space="preserve">xcess </w:t>
      </w:r>
      <w:r>
        <w:rPr>
          <w:lang w:val="en-GB"/>
        </w:rPr>
        <w:t>F</w:t>
      </w:r>
      <w:r w:rsidRPr="00906380">
        <w:rPr>
          <w:lang w:val="en-GB"/>
        </w:rPr>
        <w:t xml:space="preserve">ee </w:t>
      </w:r>
      <w:r>
        <w:rPr>
          <w:lang w:val="en-GB"/>
        </w:rPr>
        <w:t>I</w:t>
      </w:r>
      <w:r w:rsidRPr="00906380">
        <w:rPr>
          <w:lang w:val="en-GB"/>
        </w:rPr>
        <w:t xml:space="preserve">ncome which is be factored into the fee model calculation process for the subsequent year </w:t>
      </w:r>
      <w:r>
        <w:rPr>
          <w:lang w:val="en-GB"/>
        </w:rPr>
        <w:t>following the statutory audit</w:t>
      </w:r>
      <w:r w:rsidRPr="00906380">
        <w:rPr>
          <w:lang w:val="en-GB"/>
        </w:rPr>
        <w:t xml:space="preserve"> </w:t>
      </w:r>
      <w:r w:rsidRPr="00D367BD">
        <w:rPr>
          <w:lang w:val="en-GB"/>
        </w:rPr>
        <w:t xml:space="preserve">(see section </w:t>
      </w:r>
      <w:r w:rsidRPr="00D367BD">
        <w:rPr>
          <w:lang w:val="en-GB"/>
        </w:rPr>
        <w:fldChar w:fldCharType="begin"/>
      </w:r>
      <w:r w:rsidRPr="00CB36DB">
        <w:rPr>
          <w:lang w:val="en-GB"/>
        </w:rPr>
        <w:instrText xml:space="preserve"> REF _Ref83839371 \r \h </w:instrText>
      </w:r>
      <w:r>
        <w:rPr>
          <w:lang w:val="en-GB"/>
        </w:rPr>
        <w:instrText xml:space="preserve"> \* MERGEFORMAT</w:instrText>
      </w:r>
      <w:r w:rsidRPr="00AF328B">
        <w:rPr>
          <w:lang w:val="en-GB"/>
        </w:rPr>
        <w:instrText xml:space="preserve"> </w:instrText>
      </w:r>
      <w:r w:rsidRPr="00D367BD">
        <w:rPr>
          <w:lang w:val="en-GB"/>
        </w:rPr>
      </w:r>
      <w:r w:rsidRPr="00D367BD">
        <w:rPr>
          <w:lang w:val="en-GB"/>
        </w:rPr>
        <w:fldChar w:fldCharType="separate"/>
      </w:r>
      <w:r w:rsidRPr="00D367BD">
        <w:rPr>
          <w:lang w:val="en-GB"/>
        </w:rPr>
        <w:t>5.11</w:t>
      </w:r>
      <w:r w:rsidRPr="00D367BD">
        <w:rPr>
          <w:lang w:val="en-GB"/>
        </w:rPr>
        <w:fldChar w:fldCharType="end"/>
      </w:r>
      <w:r w:rsidRPr="00D367BD">
        <w:rPr>
          <w:lang w:val="en-GB"/>
        </w:rPr>
        <w:t>).</w:t>
      </w:r>
    </w:p>
    <w:p w14:paraId="1BE13677" w14:textId="77777777" w:rsidR="007625FD" w:rsidRDefault="007625FD" w:rsidP="00BC5A92">
      <w:pPr>
        <w:jc w:val="both"/>
        <w:rPr>
          <w:lang w:val="en-GB"/>
        </w:rPr>
      </w:pPr>
      <w:r>
        <w:rPr>
          <w:lang w:val="en-GB"/>
        </w:rPr>
        <w:lastRenderedPageBreak/>
        <w:t>This approach will also apply to the UPI Service and is expected to be reflected in the drafting of updates to the Main Terms, Charges Policy and Connectivity Policy.</w:t>
      </w:r>
    </w:p>
    <w:p w14:paraId="29F32D87" w14:textId="77777777" w:rsidR="007625FD" w:rsidRPr="00ED04CB" w:rsidRDefault="007625FD" w:rsidP="00BC5A92">
      <w:pPr>
        <w:jc w:val="both"/>
        <w:rPr>
          <w:rStyle w:val="normaltextrun"/>
          <w:lang w:val="en-GB"/>
        </w:rPr>
      </w:pPr>
      <w:r>
        <w:rPr>
          <w:lang w:val="en-GB"/>
        </w:rPr>
        <w:t>There will no change to the existing approach to Terminations, Suspension and Renewals for OTC ISIN clients at the time of the launch of the UPI Service.</w:t>
      </w:r>
    </w:p>
    <w:p w14:paraId="712653A8" w14:textId="77777777" w:rsidR="007625FD" w:rsidRPr="00623841" w:rsidRDefault="007625FD" w:rsidP="007625FD">
      <w:pPr>
        <w:rPr>
          <w:lang w:val="en-GB"/>
        </w:rPr>
      </w:pPr>
    </w:p>
    <w:bookmarkStart w:id="110" w:name="_Ref83800413"/>
    <w:bookmarkStart w:id="111" w:name="_Ref83800598"/>
    <w:bookmarkStart w:id="112" w:name="_Toc86680481"/>
    <w:p w14:paraId="66643609" w14:textId="77777777" w:rsidR="007625FD" w:rsidRPr="00623841" w:rsidRDefault="007625FD" w:rsidP="007625FD">
      <w:pPr>
        <w:pStyle w:val="Heading2"/>
        <w:spacing w:before="0" w:line="276" w:lineRule="auto"/>
      </w:pPr>
      <w:r>
        <w:rPr>
          <w:noProof/>
          <w:lang w:eastAsia="en-GB"/>
        </w:rPr>
        <mc:AlternateContent>
          <mc:Choice Requires="wps">
            <w:drawing>
              <wp:anchor distT="45720" distB="45720" distL="114300" distR="114300" simplePos="0" relativeHeight="251658244" behindDoc="0" locked="0" layoutInCell="1" allowOverlap="1" wp14:anchorId="596461F8" wp14:editId="7B0F3CA9">
                <wp:simplePos x="0" y="0"/>
                <wp:positionH relativeFrom="margin">
                  <wp:posOffset>38735</wp:posOffset>
                </wp:positionH>
                <wp:positionV relativeFrom="paragraph">
                  <wp:posOffset>400072</wp:posOffset>
                </wp:positionV>
                <wp:extent cx="5716905" cy="1404620"/>
                <wp:effectExtent l="0" t="0" r="17145" b="152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rgbClr val="FFFFFF"/>
                        </a:solidFill>
                        <a:ln w="9525">
                          <a:solidFill>
                            <a:srgbClr val="04AEB9"/>
                          </a:solidFill>
                          <a:miter lim="800000"/>
                          <a:headEnd/>
                          <a:tailEnd/>
                        </a:ln>
                      </wps:spPr>
                      <wps:txbx>
                        <w:txbxContent>
                          <w:p w14:paraId="31E45B9F"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209BBB7B" w14:textId="61244BA5" w:rsidR="007625FD" w:rsidRDefault="007625FD" w:rsidP="0072363F">
                            <w:pPr>
                              <w:pStyle w:val="paragraph"/>
                              <w:spacing w:before="240" w:after="120" w:line="276" w:lineRule="auto"/>
                              <w:jc w:val="both"/>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In-life events include </w:t>
                            </w:r>
                            <w:r w:rsidRPr="00221CD2">
                              <w:rPr>
                                <w:rStyle w:val="normaltextrun"/>
                                <w:rFonts w:asciiTheme="minorHAnsi" w:hAnsiTheme="minorHAnsi" w:cstheme="minorHAnsi"/>
                                <w:color w:val="000000"/>
                                <w:sz w:val="22"/>
                                <w:szCs w:val="22"/>
                              </w:rPr>
                              <w:t>Upgrades/</w:t>
                            </w:r>
                            <w:r w:rsidR="0072363F">
                              <w:rPr>
                                <w:rStyle w:val="normaltextrun"/>
                                <w:rFonts w:asciiTheme="minorHAnsi" w:hAnsiTheme="minorHAnsi" w:cstheme="minorHAnsi"/>
                                <w:color w:val="000000"/>
                                <w:sz w:val="22"/>
                                <w:szCs w:val="22"/>
                              </w:rPr>
                              <w:t>D</w:t>
                            </w:r>
                            <w:r w:rsidRPr="00221CD2">
                              <w:rPr>
                                <w:rStyle w:val="normaltextrun"/>
                                <w:rFonts w:asciiTheme="minorHAnsi" w:hAnsiTheme="minorHAnsi" w:cstheme="minorHAnsi"/>
                                <w:color w:val="000000"/>
                                <w:sz w:val="22"/>
                                <w:szCs w:val="22"/>
                              </w:rPr>
                              <w:t>owngrades (User Type amendments)</w:t>
                            </w:r>
                            <w:r>
                              <w:rPr>
                                <w:rStyle w:val="normaltextrun"/>
                                <w:rFonts w:asciiTheme="minorHAnsi" w:hAnsiTheme="minorHAnsi" w:cstheme="minorHAnsi"/>
                                <w:color w:val="000000"/>
                                <w:sz w:val="22"/>
                                <w:szCs w:val="22"/>
                              </w:rPr>
                              <w:t xml:space="preserve">, </w:t>
                            </w:r>
                            <w:r w:rsidRPr="00221CD2">
                              <w:rPr>
                                <w:rStyle w:val="normaltextrun"/>
                                <w:rFonts w:asciiTheme="minorHAnsi" w:hAnsiTheme="minorHAnsi" w:cstheme="minorHAnsi"/>
                                <w:color w:val="000000"/>
                                <w:sz w:val="22"/>
                                <w:szCs w:val="22"/>
                              </w:rPr>
                              <w:t>Novation</w:t>
                            </w:r>
                            <w:r>
                              <w:rPr>
                                <w:rStyle w:val="normaltextrun"/>
                                <w:rFonts w:asciiTheme="minorHAnsi" w:hAnsiTheme="minorHAnsi" w:cstheme="minorHAnsi"/>
                                <w:color w:val="000000"/>
                                <w:sz w:val="22"/>
                                <w:szCs w:val="22"/>
                              </w:rPr>
                              <w:t>, u</w:t>
                            </w:r>
                            <w:r w:rsidRPr="00221CD2">
                              <w:rPr>
                                <w:rStyle w:val="normaltextrun"/>
                                <w:rFonts w:asciiTheme="minorHAnsi" w:hAnsiTheme="minorHAnsi" w:cstheme="minorHAnsi"/>
                                <w:color w:val="000000"/>
                                <w:sz w:val="22"/>
                                <w:szCs w:val="22"/>
                              </w:rPr>
                              <w:t>pdate to User notification details</w:t>
                            </w:r>
                            <w:r>
                              <w:rPr>
                                <w:rStyle w:val="normaltextrun"/>
                                <w:rFonts w:asciiTheme="minorHAnsi" w:hAnsiTheme="minorHAnsi" w:cstheme="minorHAnsi"/>
                                <w:color w:val="000000"/>
                                <w:sz w:val="22"/>
                                <w:szCs w:val="22"/>
                              </w:rPr>
                              <w:t xml:space="preserve"> and the ability to raise Support Tickets for any queries or issues about the UPI Service or the COSP.</w:t>
                            </w:r>
                          </w:p>
                          <w:p w14:paraId="1174138F" w14:textId="77777777" w:rsidR="007625FD" w:rsidRDefault="007625FD" w:rsidP="0072363F">
                            <w:pPr>
                              <w:spacing w:after="0"/>
                              <w:jc w:val="both"/>
                            </w:pPr>
                            <w:r>
                              <w:t>T</w:t>
                            </w:r>
                            <w:r w:rsidRPr="002D7B7D">
                              <w:t xml:space="preserve">hese events will be </w:t>
                            </w:r>
                            <w:r>
                              <w:t xml:space="preserve">primarily </w:t>
                            </w:r>
                            <w:r w:rsidRPr="002D7B7D">
                              <w:t xml:space="preserve">managed </w:t>
                            </w:r>
                            <w:r>
                              <w:t>on the COSP for UPI clients</w:t>
                            </w:r>
                            <w:r w:rsidRPr="002D7B7D">
                              <w:t>, with assistance provided by the DSB Support teams where required</w:t>
                            </w:r>
                            <w:r>
                              <w:t>.</w:t>
                            </w:r>
                            <w:r w:rsidRPr="007C3E11">
                              <w:t xml:space="preserve"> </w:t>
                            </w:r>
                            <w:r w:rsidRPr="000802BE">
                              <w:t xml:space="preserve">Until such a time that OTC ISIN clients are transitioned onto the </w:t>
                            </w:r>
                            <w:r>
                              <w:t>COSP</w:t>
                            </w:r>
                            <w:r w:rsidRPr="000802BE">
                              <w:t xml:space="preserve">, they will continue to use </w:t>
                            </w:r>
                            <w:r>
                              <w:t xml:space="preserve">the existing </w:t>
                            </w:r>
                            <w:r w:rsidRPr="000802BE">
                              <w:t>email</w:t>
                            </w:r>
                            <w:r>
                              <w:t xml:space="preserve"> channel</w:t>
                            </w:r>
                            <w:r w:rsidRPr="000802BE">
                              <w:t xml:space="preserve"> as the default approach for raising requests for support.</w:t>
                            </w:r>
                          </w:p>
                          <w:p w14:paraId="2D1F1F6E" w14:textId="77777777" w:rsidR="007625FD" w:rsidRDefault="007625FD" w:rsidP="0072363F">
                            <w:pPr>
                              <w:spacing w:after="0"/>
                              <w:jc w:val="both"/>
                            </w:pPr>
                          </w:p>
                          <w:p w14:paraId="1E058792" w14:textId="77777777" w:rsidR="007625FD" w:rsidRDefault="007625FD" w:rsidP="0072363F">
                            <w:pPr>
                              <w:spacing w:after="0"/>
                              <w:jc w:val="both"/>
                            </w:pPr>
                            <w:r>
                              <w:t>Where these events necessitate amendment to existing paperwork, or generate a new Subscription Form, data entered by the client online via the COSP will be used to pre-populate the relevant document template for client review and approval.</w:t>
                            </w:r>
                          </w:p>
                          <w:p w14:paraId="552E9FE3" w14:textId="77777777" w:rsidR="007625FD" w:rsidRDefault="007625FD" w:rsidP="0072363F">
                            <w:pPr>
                              <w:spacing w:after="0"/>
                              <w:jc w:val="both"/>
                              <w:rPr>
                                <w:lang w:val="en-GB"/>
                              </w:rPr>
                            </w:pPr>
                          </w:p>
                          <w:p w14:paraId="78B8BBFA" w14:textId="77777777" w:rsidR="007625FD" w:rsidRPr="00D367BD" w:rsidRDefault="007625FD" w:rsidP="0072363F">
                            <w:pPr>
                              <w:spacing w:after="0"/>
                              <w:jc w:val="both"/>
                            </w:pPr>
                            <w:r>
                              <w:rPr>
                                <w:lang w:val="en-GB"/>
                              </w:rPr>
                              <w:t>E</w:t>
                            </w:r>
                            <w:r w:rsidRPr="00906380">
                              <w:rPr>
                                <w:lang w:val="en-GB"/>
                              </w:rPr>
                              <w:t>ach subscription is a separate legal agreement comprising the Subscription details, Main Terms and Policies. As such, action can be taken in-life on any subscription in isolation or on multiple subscriptions in parallel.</w:t>
                            </w:r>
                          </w:p>
                          <w:p w14:paraId="621050F7" w14:textId="77777777" w:rsidR="007625FD" w:rsidRDefault="007625FD" w:rsidP="0072363F">
                            <w:pPr>
                              <w:spacing w:after="0"/>
                              <w:jc w:val="both"/>
                              <w:rPr>
                                <w:color w:val="FF0000"/>
                                <w:lang w:val="en-GB"/>
                              </w:rPr>
                            </w:pPr>
                          </w:p>
                          <w:p w14:paraId="26FF0A58" w14:textId="77777777" w:rsidR="007625FD" w:rsidRDefault="007625FD" w:rsidP="0072363F">
                            <w:pPr>
                              <w:spacing w:after="0"/>
                              <w:jc w:val="both"/>
                            </w:pPr>
                            <w:r>
                              <w:t>For a combined User of both OTC ISIN and UPI Services, where there is a breach of the Acceptable Use Policy or for non-payment on one service, the DSB will have the discretion to suspend subscriptions across both services via cross-subscription provisions.</w:t>
                            </w:r>
                          </w:p>
                          <w:p w14:paraId="213C9A0D" w14:textId="77777777" w:rsidR="007625FD" w:rsidRDefault="007625FD" w:rsidP="0072363F">
                            <w:pPr>
                              <w:spacing w:after="0"/>
                              <w:jc w:val="both"/>
                            </w:pPr>
                          </w:p>
                          <w:p w14:paraId="2CEEB486" w14:textId="77777777" w:rsidR="007625FD" w:rsidRDefault="007625FD" w:rsidP="0072363F">
                            <w:pPr>
                              <w:spacing w:after="0"/>
                              <w:jc w:val="both"/>
                            </w:pPr>
                            <w:r>
                              <w:t>There is no change to the existing mechanism for handling in-life events for OTC ISIN Users.</w:t>
                            </w:r>
                          </w:p>
                          <w:p w14:paraId="5C903D50" w14:textId="77777777" w:rsidR="007625FD" w:rsidRPr="00EF0F29" w:rsidRDefault="007625FD" w:rsidP="0072363F">
                            <w:pPr>
                              <w:spacing w:after="0"/>
                              <w:jc w:val="both"/>
                              <w:rPr>
                                <w:rStyle w:val="normaltextrun"/>
                              </w:rPr>
                            </w:pPr>
                          </w:p>
                          <w:p w14:paraId="248D0E97" w14:textId="77777777" w:rsidR="007625FD" w:rsidRDefault="007625FD" w:rsidP="0072363F">
                            <w:pPr>
                              <w:jc w:val="both"/>
                              <w:rPr>
                                <w:rStyle w:val="normaltextrun"/>
                                <w:rFonts w:cstheme="minorHAnsi"/>
                                <w:b/>
                                <w:bCs/>
                                <w:color w:val="000000"/>
                              </w:rPr>
                            </w:pPr>
                            <w:r w:rsidRPr="0076032B">
                              <w:rPr>
                                <w:rStyle w:val="normaltextrun"/>
                                <w:rFonts w:cstheme="minorHAnsi"/>
                                <w:b/>
                                <w:bCs/>
                                <w:color w:val="000000"/>
                              </w:rPr>
                              <w:t>Question</w:t>
                            </w:r>
                            <w:r>
                              <w:rPr>
                                <w:rStyle w:val="normaltextrun"/>
                                <w:rFonts w:cstheme="minorHAnsi"/>
                                <w:b/>
                                <w:bCs/>
                                <w:color w:val="000000"/>
                              </w:rPr>
                              <w:t xml:space="preserve"> 8a</w:t>
                            </w:r>
                            <w:r w:rsidRPr="0076032B">
                              <w:rPr>
                                <w:rStyle w:val="normaltextrun"/>
                                <w:rFonts w:cstheme="minorHAnsi"/>
                                <w:b/>
                                <w:bCs/>
                                <w:color w:val="000000"/>
                              </w:rPr>
                              <w:t xml:space="preserve">: </w:t>
                            </w:r>
                            <w:r w:rsidRPr="00D44825">
                              <w:rPr>
                                <w:rStyle w:val="normaltextrun"/>
                                <w:rFonts w:cstheme="minorHAnsi"/>
                                <w:b/>
                                <w:i/>
                                <w:color w:val="000000"/>
                              </w:rPr>
                              <w:t>Do you agree with the proposed approach for managing in-life events via the online platform?</w:t>
                            </w:r>
                          </w:p>
                          <w:p w14:paraId="5275793E" w14:textId="77777777" w:rsidR="007625FD" w:rsidRPr="0097593F" w:rsidRDefault="007625FD" w:rsidP="0072363F">
                            <w:pPr>
                              <w:jc w:val="both"/>
                              <w:rPr>
                                <w:rStyle w:val="normaltextrun"/>
                                <w:rFonts w:cstheme="minorHAnsi"/>
                                <w:b/>
                                <w:color w:val="000000"/>
                              </w:rPr>
                            </w:pPr>
                            <w:r w:rsidRPr="0076032B">
                              <w:rPr>
                                <w:rStyle w:val="normaltextrun"/>
                                <w:rFonts w:cstheme="minorHAnsi"/>
                                <w:b/>
                                <w:bCs/>
                                <w:color w:val="000000"/>
                              </w:rPr>
                              <w:t>Question</w:t>
                            </w:r>
                            <w:r>
                              <w:rPr>
                                <w:rStyle w:val="normaltextrun"/>
                                <w:rFonts w:cstheme="minorHAnsi"/>
                                <w:b/>
                                <w:bCs/>
                                <w:color w:val="000000"/>
                              </w:rPr>
                              <w:t xml:space="preserve"> 8b</w:t>
                            </w:r>
                            <w:r w:rsidRPr="0076032B">
                              <w:rPr>
                                <w:rStyle w:val="normaltextrun"/>
                                <w:rFonts w:cstheme="minorHAnsi"/>
                                <w:b/>
                                <w:bCs/>
                                <w:color w:val="000000"/>
                              </w:rPr>
                              <w:t xml:space="preserve">: </w:t>
                            </w:r>
                            <w:r w:rsidRPr="00D44825">
                              <w:rPr>
                                <w:rStyle w:val="normaltextrun"/>
                                <w:rFonts w:cstheme="minorHAnsi"/>
                                <w:b/>
                                <w:i/>
                                <w:color w:val="000000"/>
                              </w:rPr>
                              <w:t xml:space="preserve">If not, </w:t>
                            </w:r>
                            <w:r>
                              <w:rPr>
                                <w:rStyle w:val="normaltextrun"/>
                                <w:rFonts w:cstheme="minorHAnsi"/>
                                <w:b/>
                                <w:bCs/>
                                <w:i/>
                                <w:iCs/>
                                <w:color w:val="000000"/>
                              </w:rPr>
                              <w:t>please articulate your concerns and provide details on any specific alternate approach that you would advocate.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6461F8" id="_x0000_s1034" type="#_x0000_t202" style="position:absolute;left:0;text-align:left;margin-left:3.05pt;margin-top:31.5pt;width:450.15pt;height:110.6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" strokecolor="#04aeb9">
                <v:textbox style="mso-fit-shape-to-text:t">
                  <w:txbxContent>
                    <w:p w14:paraId="31E45B9F"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209BBB7B" w14:textId="61244BA5" w:rsidR="007625FD" w:rsidRDefault="007625FD" w:rsidP="0072363F">
                      <w:pPr>
                        <w:pStyle w:val="paragraph"/>
                        <w:spacing w:before="240" w:after="120" w:line="276" w:lineRule="auto"/>
                        <w:jc w:val="both"/>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In-life events include </w:t>
                      </w:r>
                      <w:r w:rsidRPr="00221CD2">
                        <w:rPr>
                          <w:rStyle w:val="normaltextrun"/>
                          <w:rFonts w:asciiTheme="minorHAnsi" w:hAnsiTheme="minorHAnsi" w:cstheme="minorHAnsi"/>
                          <w:color w:val="000000"/>
                          <w:sz w:val="22"/>
                          <w:szCs w:val="22"/>
                        </w:rPr>
                        <w:t>Upgrades/</w:t>
                      </w:r>
                      <w:r w:rsidR="0072363F">
                        <w:rPr>
                          <w:rStyle w:val="normaltextrun"/>
                          <w:rFonts w:asciiTheme="minorHAnsi" w:hAnsiTheme="minorHAnsi" w:cstheme="minorHAnsi"/>
                          <w:color w:val="000000"/>
                          <w:sz w:val="22"/>
                          <w:szCs w:val="22"/>
                        </w:rPr>
                        <w:t>D</w:t>
                      </w:r>
                      <w:r w:rsidRPr="00221CD2">
                        <w:rPr>
                          <w:rStyle w:val="normaltextrun"/>
                          <w:rFonts w:asciiTheme="minorHAnsi" w:hAnsiTheme="minorHAnsi" w:cstheme="minorHAnsi"/>
                          <w:color w:val="000000"/>
                          <w:sz w:val="22"/>
                          <w:szCs w:val="22"/>
                        </w:rPr>
                        <w:t>owngrades (User Type amendments)</w:t>
                      </w:r>
                      <w:r>
                        <w:rPr>
                          <w:rStyle w:val="normaltextrun"/>
                          <w:rFonts w:asciiTheme="minorHAnsi" w:hAnsiTheme="minorHAnsi" w:cstheme="minorHAnsi"/>
                          <w:color w:val="000000"/>
                          <w:sz w:val="22"/>
                          <w:szCs w:val="22"/>
                        </w:rPr>
                        <w:t xml:space="preserve">, </w:t>
                      </w:r>
                      <w:r w:rsidRPr="00221CD2">
                        <w:rPr>
                          <w:rStyle w:val="normaltextrun"/>
                          <w:rFonts w:asciiTheme="minorHAnsi" w:hAnsiTheme="minorHAnsi" w:cstheme="minorHAnsi"/>
                          <w:color w:val="000000"/>
                          <w:sz w:val="22"/>
                          <w:szCs w:val="22"/>
                        </w:rPr>
                        <w:t>Novation</w:t>
                      </w:r>
                      <w:r>
                        <w:rPr>
                          <w:rStyle w:val="normaltextrun"/>
                          <w:rFonts w:asciiTheme="minorHAnsi" w:hAnsiTheme="minorHAnsi" w:cstheme="minorHAnsi"/>
                          <w:color w:val="000000"/>
                          <w:sz w:val="22"/>
                          <w:szCs w:val="22"/>
                        </w:rPr>
                        <w:t>, u</w:t>
                      </w:r>
                      <w:r w:rsidRPr="00221CD2">
                        <w:rPr>
                          <w:rStyle w:val="normaltextrun"/>
                          <w:rFonts w:asciiTheme="minorHAnsi" w:hAnsiTheme="minorHAnsi" w:cstheme="minorHAnsi"/>
                          <w:color w:val="000000"/>
                          <w:sz w:val="22"/>
                          <w:szCs w:val="22"/>
                        </w:rPr>
                        <w:t>pdate to User notification details</w:t>
                      </w:r>
                      <w:r>
                        <w:rPr>
                          <w:rStyle w:val="normaltextrun"/>
                          <w:rFonts w:asciiTheme="minorHAnsi" w:hAnsiTheme="minorHAnsi" w:cstheme="minorHAnsi"/>
                          <w:color w:val="000000"/>
                          <w:sz w:val="22"/>
                          <w:szCs w:val="22"/>
                        </w:rPr>
                        <w:t xml:space="preserve"> and the ability to raise Support Tickets for any queries or issues about the UPI Service or the COSP.</w:t>
                      </w:r>
                    </w:p>
                    <w:p w14:paraId="1174138F" w14:textId="77777777" w:rsidR="007625FD" w:rsidRDefault="007625FD" w:rsidP="0072363F">
                      <w:pPr>
                        <w:spacing w:after="0"/>
                        <w:jc w:val="both"/>
                      </w:pPr>
                      <w:r>
                        <w:t>T</w:t>
                      </w:r>
                      <w:r w:rsidRPr="002D7B7D">
                        <w:t xml:space="preserve">hese events will be </w:t>
                      </w:r>
                      <w:r>
                        <w:t xml:space="preserve">primarily </w:t>
                      </w:r>
                      <w:r w:rsidRPr="002D7B7D">
                        <w:t xml:space="preserve">managed </w:t>
                      </w:r>
                      <w:r>
                        <w:t>on the COSP for UPI clients</w:t>
                      </w:r>
                      <w:r w:rsidRPr="002D7B7D">
                        <w:t>, with assistance provided by the DSB Support teams where required</w:t>
                      </w:r>
                      <w:r>
                        <w:t>.</w:t>
                      </w:r>
                      <w:r w:rsidRPr="007C3E11">
                        <w:t xml:space="preserve"> </w:t>
                      </w:r>
                      <w:r w:rsidRPr="000802BE">
                        <w:t xml:space="preserve">Until such a time that OTC ISIN clients are transitioned onto the </w:t>
                      </w:r>
                      <w:r>
                        <w:t>COSP</w:t>
                      </w:r>
                      <w:r w:rsidRPr="000802BE">
                        <w:t xml:space="preserve">, they will continue to use </w:t>
                      </w:r>
                      <w:r>
                        <w:t xml:space="preserve">the existing </w:t>
                      </w:r>
                      <w:r w:rsidRPr="000802BE">
                        <w:t>email</w:t>
                      </w:r>
                      <w:r>
                        <w:t xml:space="preserve"> channel</w:t>
                      </w:r>
                      <w:r w:rsidRPr="000802BE">
                        <w:t xml:space="preserve"> as the default approach for raising requests for support.</w:t>
                      </w:r>
                    </w:p>
                    <w:p w14:paraId="2D1F1F6E" w14:textId="77777777" w:rsidR="007625FD" w:rsidRDefault="007625FD" w:rsidP="0072363F">
                      <w:pPr>
                        <w:spacing w:after="0"/>
                        <w:jc w:val="both"/>
                      </w:pPr>
                    </w:p>
                    <w:p w14:paraId="1E058792" w14:textId="77777777" w:rsidR="007625FD" w:rsidRDefault="007625FD" w:rsidP="0072363F">
                      <w:pPr>
                        <w:spacing w:after="0"/>
                        <w:jc w:val="both"/>
                      </w:pPr>
                      <w:r>
                        <w:t>Where these events necessitate amendment to existing paperwork, or generate a new Subscription Form, data entered by the client online via the COSP will be used to pre-populate the relevant document template for client review and approval.</w:t>
                      </w:r>
                    </w:p>
                    <w:p w14:paraId="552E9FE3" w14:textId="77777777" w:rsidR="007625FD" w:rsidRDefault="007625FD" w:rsidP="0072363F">
                      <w:pPr>
                        <w:spacing w:after="0"/>
                        <w:jc w:val="both"/>
                        <w:rPr>
                          <w:lang w:val="en-GB"/>
                        </w:rPr>
                      </w:pPr>
                    </w:p>
                    <w:p w14:paraId="78B8BBFA" w14:textId="77777777" w:rsidR="007625FD" w:rsidRPr="00D367BD" w:rsidRDefault="007625FD" w:rsidP="0072363F">
                      <w:pPr>
                        <w:spacing w:after="0"/>
                        <w:jc w:val="both"/>
                      </w:pPr>
                      <w:r>
                        <w:rPr>
                          <w:lang w:val="en-GB"/>
                        </w:rPr>
                        <w:t>E</w:t>
                      </w:r>
                      <w:r w:rsidRPr="00906380">
                        <w:rPr>
                          <w:lang w:val="en-GB"/>
                        </w:rPr>
                        <w:t>ach subscription is a separate legal agreement comprising the Subscription details, Main Terms and Policies. As such, action can be taken in-life on any subscription in isolation or on multiple subscriptions in parallel.</w:t>
                      </w:r>
                    </w:p>
                    <w:p w14:paraId="621050F7" w14:textId="77777777" w:rsidR="007625FD" w:rsidRDefault="007625FD" w:rsidP="0072363F">
                      <w:pPr>
                        <w:spacing w:after="0"/>
                        <w:jc w:val="both"/>
                        <w:rPr>
                          <w:color w:val="FF0000"/>
                          <w:lang w:val="en-GB"/>
                        </w:rPr>
                      </w:pPr>
                    </w:p>
                    <w:p w14:paraId="26FF0A58" w14:textId="77777777" w:rsidR="007625FD" w:rsidRDefault="007625FD" w:rsidP="0072363F">
                      <w:pPr>
                        <w:spacing w:after="0"/>
                        <w:jc w:val="both"/>
                      </w:pPr>
                      <w:r>
                        <w:t>For a combined User of both OTC ISIN and UPI Services, where there is a breach of the Acceptable Use Policy or for non-payment on one service, the DSB will have the discretion to suspend subscriptions across both services via cross-subscription provisions.</w:t>
                      </w:r>
                    </w:p>
                    <w:p w14:paraId="213C9A0D" w14:textId="77777777" w:rsidR="007625FD" w:rsidRDefault="007625FD" w:rsidP="0072363F">
                      <w:pPr>
                        <w:spacing w:after="0"/>
                        <w:jc w:val="both"/>
                      </w:pPr>
                    </w:p>
                    <w:p w14:paraId="2CEEB486" w14:textId="77777777" w:rsidR="007625FD" w:rsidRDefault="007625FD" w:rsidP="0072363F">
                      <w:pPr>
                        <w:spacing w:after="0"/>
                        <w:jc w:val="both"/>
                      </w:pPr>
                      <w:r>
                        <w:t>There is no change to the existing mechanism for handling in-life events for OTC ISIN Users.</w:t>
                      </w:r>
                    </w:p>
                    <w:p w14:paraId="5C903D50" w14:textId="77777777" w:rsidR="007625FD" w:rsidRPr="00EF0F29" w:rsidRDefault="007625FD" w:rsidP="0072363F">
                      <w:pPr>
                        <w:spacing w:after="0"/>
                        <w:jc w:val="both"/>
                        <w:rPr>
                          <w:rStyle w:val="normaltextrun"/>
                        </w:rPr>
                      </w:pPr>
                    </w:p>
                    <w:p w14:paraId="248D0E97" w14:textId="77777777" w:rsidR="007625FD" w:rsidRDefault="007625FD" w:rsidP="0072363F">
                      <w:pPr>
                        <w:jc w:val="both"/>
                        <w:rPr>
                          <w:rStyle w:val="normaltextrun"/>
                          <w:rFonts w:cstheme="minorHAnsi"/>
                          <w:b/>
                          <w:bCs/>
                          <w:color w:val="000000"/>
                        </w:rPr>
                      </w:pPr>
                      <w:r w:rsidRPr="0076032B">
                        <w:rPr>
                          <w:rStyle w:val="normaltextrun"/>
                          <w:rFonts w:cstheme="minorHAnsi"/>
                          <w:b/>
                          <w:bCs/>
                          <w:color w:val="000000"/>
                        </w:rPr>
                        <w:t>Question</w:t>
                      </w:r>
                      <w:r>
                        <w:rPr>
                          <w:rStyle w:val="normaltextrun"/>
                          <w:rFonts w:cstheme="minorHAnsi"/>
                          <w:b/>
                          <w:bCs/>
                          <w:color w:val="000000"/>
                        </w:rPr>
                        <w:t xml:space="preserve"> 8a</w:t>
                      </w:r>
                      <w:r w:rsidRPr="0076032B">
                        <w:rPr>
                          <w:rStyle w:val="normaltextrun"/>
                          <w:rFonts w:cstheme="minorHAnsi"/>
                          <w:b/>
                          <w:bCs/>
                          <w:color w:val="000000"/>
                        </w:rPr>
                        <w:t xml:space="preserve">: </w:t>
                      </w:r>
                      <w:r w:rsidRPr="00D44825">
                        <w:rPr>
                          <w:rStyle w:val="normaltextrun"/>
                          <w:rFonts w:cstheme="minorHAnsi"/>
                          <w:b/>
                          <w:i/>
                          <w:color w:val="000000"/>
                        </w:rPr>
                        <w:t>Do you agree with the proposed approach for managing in-life events via the online platform?</w:t>
                      </w:r>
                    </w:p>
                    <w:p w14:paraId="5275793E" w14:textId="77777777" w:rsidR="007625FD" w:rsidRPr="0097593F" w:rsidRDefault="007625FD" w:rsidP="0072363F">
                      <w:pPr>
                        <w:jc w:val="both"/>
                        <w:rPr>
                          <w:rStyle w:val="normaltextrun"/>
                          <w:rFonts w:cstheme="minorHAnsi"/>
                          <w:b/>
                          <w:color w:val="000000"/>
                        </w:rPr>
                      </w:pPr>
                      <w:r w:rsidRPr="0076032B">
                        <w:rPr>
                          <w:rStyle w:val="normaltextrun"/>
                          <w:rFonts w:cstheme="minorHAnsi"/>
                          <w:b/>
                          <w:bCs/>
                          <w:color w:val="000000"/>
                        </w:rPr>
                        <w:t>Question</w:t>
                      </w:r>
                      <w:r>
                        <w:rPr>
                          <w:rStyle w:val="normaltextrun"/>
                          <w:rFonts w:cstheme="minorHAnsi"/>
                          <w:b/>
                          <w:bCs/>
                          <w:color w:val="000000"/>
                        </w:rPr>
                        <w:t xml:space="preserve"> 8b</w:t>
                      </w:r>
                      <w:r w:rsidRPr="0076032B">
                        <w:rPr>
                          <w:rStyle w:val="normaltextrun"/>
                          <w:rFonts w:cstheme="minorHAnsi"/>
                          <w:b/>
                          <w:bCs/>
                          <w:color w:val="000000"/>
                        </w:rPr>
                        <w:t xml:space="preserve">: </w:t>
                      </w:r>
                      <w:r w:rsidRPr="00D44825">
                        <w:rPr>
                          <w:rStyle w:val="normaltextrun"/>
                          <w:rFonts w:cstheme="minorHAnsi"/>
                          <w:b/>
                          <w:i/>
                          <w:color w:val="000000"/>
                        </w:rPr>
                        <w:t xml:space="preserve">If not, </w:t>
                      </w:r>
                      <w:r>
                        <w:rPr>
                          <w:rStyle w:val="normaltextrun"/>
                          <w:rFonts w:cstheme="minorHAnsi"/>
                          <w:b/>
                          <w:bCs/>
                          <w:i/>
                          <w:iCs/>
                          <w:color w:val="000000"/>
                        </w:rPr>
                        <w:t>please articulate your concerns and provide details on any specific alternate approach that you would advocate.</w:t>
                      </w:r>
                    </w:p>
                  </w:txbxContent>
                </v:textbox>
                <w10:wrap type="square" anchorx="margin"/>
              </v:shape>
            </w:pict>
          </mc:Fallback>
        </mc:AlternateContent>
      </w:r>
      <w:r>
        <w:t>Q8 – In-Life Events</w:t>
      </w:r>
      <w:bookmarkEnd w:id="110"/>
      <w:bookmarkEnd w:id="111"/>
      <w:bookmarkEnd w:id="112"/>
    </w:p>
    <w:p w14:paraId="150001F6" w14:textId="77777777" w:rsidR="00B31430" w:rsidRDefault="00B31430">
      <w:pPr>
        <w:rPr>
          <w:b/>
          <w:bCs/>
          <w:u w:val="single"/>
        </w:rPr>
      </w:pPr>
      <w:r>
        <w:rPr>
          <w:b/>
          <w:bCs/>
          <w:u w:val="single"/>
        </w:rPr>
        <w:br w:type="page"/>
      </w:r>
    </w:p>
    <w:p w14:paraId="38B64A0C" w14:textId="0095FC63" w:rsidR="007625FD" w:rsidRDefault="007625FD" w:rsidP="007625FD">
      <w:pPr>
        <w:jc w:val="both"/>
        <w:rPr>
          <w:b/>
          <w:bCs/>
          <w:u w:val="single"/>
        </w:rPr>
      </w:pPr>
      <w:r w:rsidRPr="00623841">
        <w:rPr>
          <w:b/>
          <w:bCs/>
          <w:u w:val="single"/>
        </w:rPr>
        <w:lastRenderedPageBreak/>
        <w:t>Supporting Information:</w:t>
      </w:r>
    </w:p>
    <w:p w14:paraId="44437F0F" w14:textId="77777777" w:rsidR="007625FD" w:rsidRPr="0013265E" w:rsidRDefault="007625FD" w:rsidP="007625FD">
      <w:pPr>
        <w:spacing w:after="0"/>
        <w:rPr>
          <w:lang w:val="en-GB"/>
        </w:rPr>
      </w:pPr>
      <w:r w:rsidRPr="005D2261">
        <w:rPr>
          <w:lang w:val="en-GB"/>
        </w:rPr>
        <w:t>In</w:t>
      </w:r>
      <w:r>
        <w:rPr>
          <w:lang w:val="en-GB"/>
        </w:rPr>
        <w:t>-life events are the actions triggered by either the client or the DSB during the life of the relationship (following initial Onboarding). They include:</w:t>
      </w:r>
    </w:p>
    <w:p w14:paraId="6C6E2DF9" w14:textId="77777777" w:rsidR="007625FD" w:rsidRPr="0013265E" w:rsidRDefault="007625FD" w:rsidP="007625FD">
      <w:pPr>
        <w:spacing w:after="0"/>
        <w:rPr>
          <w:lang w:val="en-GB"/>
        </w:rPr>
      </w:pPr>
    </w:p>
    <w:p w14:paraId="59E6AD41" w14:textId="77777777" w:rsidR="007625FD" w:rsidRPr="0013265E" w:rsidRDefault="007625FD" w:rsidP="007625FD">
      <w:pPr>
        <w:pStyle w:val="ListParagraph"/>
        <w:numPr>
          <w:ilvl w:val="0"/>
          <w:numId w:val="15"/>
        </w:numPr>
        <w:autoSpaceDE/>
        <w:autoSpaceDN/>
        <w:adjustRightInd/>
        <w:spacing w:before="0" w:line="276" w:lineRule="auto"/>
        <w:ind w:right="0"/>
        <w:contextualSpacing/>
        <w:rPr>
          <w:sz w:val="22"/>
          <w:szCs w:val="22"/>
        </w:rPr>
      </w:pPr>
      <w:r w:rsidRPr="0013265E">
        <w:rPr>
          <w:sz w:val="22"/>
          <w:szCs w:val="22"/>
        </w:rPr>
        <w:t>Terminations</w:t>
      </w:r>
    </w:p>
    <w:p w14:paraId="019183F0" w14:textId="77777777" w:rsidR="007625FD" w:rsidRPr="0013265E" w:rsidRDefault="007625FD" w:rsidP="007625FD">
      <w:pPr>
        <w:pStyle w:val="ListParagraph"/>
        <w:numPr>
          <w:ilvl w:val="0"/>
          <w:numId w:val="15"/>
        </w:numPr>
        <w:autoSpaceDE/>
        <w:autoSpaceDN/>
        <w:adjustRightInd/>
        <w:spacing w:before="0" w:line="276" w:lineRule="auto"/>
        <w:ind w:right="0"/>
        <w:contextualSpacing/>
        <w:rPr>
          <w:sz w:val="22"/>
          <w:szCs w:val="22"/>
        </w:rPr>
      </w:pPr>
      <w:r w:rsidRPr="0013265E">
        <w:rPr>
          <w:sz w:val="22"/>
          <w:szCs w:val="22"/>
        </w:rPr>
        <w:t>Upgrades/downgrades (</w:t>
      </w:r>
      <w:r w:rsidRPr="0013265E" w:rsidDel="00D3207B">
        <w:rPr>
          <w:sz w:val="22"/>
          <w:szCs w:val="22"/>
        </w:rPr>
        <w:t>User</w:t>
      </w:r>
      <w:r w:rsidRPr="0013265E">
        <w:rPr>
          <w:sz w:val="22"/>
          <w:szCs w:val="22"/>
        </w:rPr>
        <w:t xml:space="preserve"> Type amendments)</w:t>
      </w:r>
    </w:p>
    <w:p w14:paraId="467F4230" w14:textId="77777777" w:rsidR="007625FD" w:rsidRPr="0013265E" w:rsidRDefault="007625FD" w:rsidP="007625FD">
      <w:pPr>
        <w:pStyle w:val="ListParagraph"/>
        <w:numPr>
          <w:ilvl w:val="0"/>
          <w:numId w:val="15"/>
        </w:numPr>
        <w:autoSpaceDE/>
        <w:autoSpaceDN/>
        <w:adjustRightInd/>
        <w:spacing w:before="0" w:line="276" w:lineRule="auto"/>
        <w:ind w:right="0"/>
        <w:contextualSpacing/>
        <w:rPr>
          <w:sz w:val="22"/>
          <w:szCs w:val="22"/>
        </w:rPr>
      </w:pPr>
      <w:r w:rsidRPr="0013265E">
        <w:rPr>
          <w:sz w:val="22"/>
          <w:szCs w:val="22"/>
        </w:rPr>
        <w:t>Novation</w:t>
      </w:r>
    </w:p>
    <w:p w14:paraId="1B1B0787" w14:textId="77777777" w:rsidR="007625FD" w:rsidRPr="0013265E" w:rsidRDefault="007625FD" w:rsidP="007625FD">
      <w:pPr>
        <w:pStyle w:val="ListParagraph"/>
        <w:numPr>
          <w:ilvl w:val="0"/>
          <w:numId w:val="15"/>
        </w:numPr>
        <w:autoSpaceDE/>
        <w:autoSpaceDN/>
        <w:adjustRightInd/>
        <w:spacing w:before="0" w:line="276" w:lineRule="auto"/>
        <w:ind w:right="0"/>
        <w:contextualSpacing/>
        <w:rPr>
          <w:sz w:val="22"/>
          <w:szCs w:val="22"/>
        </w:rPr>
      </w:pPr>
      <w:r w:rsidRPr="0013265E">
        <w:rPr>
          <w:sz w:val="22"/>
          <w:szCs w:val="22"/>
        </w:rPr>
        <w:t>Update to User notification details (Clause 18 Amendments)</w:t>
      </w:r>
    </w:p>
    <w:p w14:paraId="76FC8E0C" w14:textId="77777777" w:rsidR="007625FD" w:rsidRPr="0013265E" w:rsidRDefault="007625FD" w:rsidP="007625FD">
      <w:pPr>
        <w:pStyle w:val="ListParagraph"/>
        <w:numPr>
          <w:ilvl w:val="0"/>
          <w:numId w:val="15"/>
        </w:numPr>
        <w:autoSpaceDE/>
        <w:autoSpaceDN/>
        <w:adjustRightInd/>
        <w:spacing w:before="0" w:line="276" w:lineRule="auto"/>
        <w:ind w:right="0"/>
        <w:contextualSpacing/>
        <w:rPr>
          <w:sz w:val="22"/>
          <w:szCs w:val="22"/>
        </w:rPr>
      </w:pPr>
      <w:r w:rsidRPr="0013265E">
        <w:rPr>
          <w:sz w:val="22"/>
          <w:szCs w:val="22"/>
        </w:rPr>
        <w:t>Breach notifications (Clause 18 Amendments)</w:t>
      </w:r>
    </w:p>
    <w:p w14:paraId="51E2518D" w14:textId="77777777" w:rsidR="007625FD" w:rsidRPr="0013265E" w:rsidRDefault="007625FD" w:rsidP="007625FD">
      <w:pPr>
        <w:pStyle w:val="ListParagraph"/>
        <w:numPr>
          <w:ilvl w:val="0"/>
          <w:numId w:val="15"/>
        </w:numPr>
        <w:autoSpaceDE/>
        <w:autoSpaceDN/>
        <w:adjustRightInd/>
        <w:spacing w:before="0" w:line="276" w:lineRule="auto"/>
        <w:ind w:right="0"/>
        <w:contextualSpacing/>
        <w:rPr>
          <w:sz w:val="22"/>
          <w:szCs w:val="22"/>
        </w:rPr>
      </w:pPr>
      <w:r w:rsidRPr="0013265E">
        <w:rPr>
          <w:sz w:val="22"/>
          <w:szCs w:val="22"/>
        </w:rPr>
        <w:t>Amendment to Affiliates (Appendix B)</w:t>
      </w:r>
    </w:p>
    <w:p w14:paraId="725F7D57" w14:textId="77777777" w:rsidR="007625FD" w:rsidRPr="0013265E" w:rsidRDefault="007625FD" w:rsidP="007625FD">
      <w:pPr>
        <w:pStyle w:val="ListParagraph"/>
        <w:numPr>
          <w:ilvl w:val="0"/>
          <w:numId w:val="15"/>
        </w:numPr>
        <w:autoSpaceDE/>
        <w:autoSpaceDN/>
        <w:adjustRightInd/>
        <w:spacing w:before="0" w:line="276" w:lineRule="auto"/>
        <w:ind w:right="0"/>
        <w:contextualSpacing/>
        <w:rPr>
          <w:sz w:val="22"/>
          <w:szCs w:val="22"/>
        </w:rPr>
      </w:pPr>
      <w:r w:rsidRPr="0013265E">
        <w:rPr>
          <w:sz w:val="22"/>
          <w:szCs w:val="22"/>
        </w:rPr>
        <w:t>Support Ticket Management (raising queries and issues for support that cannot be resolved through the information made available on the ANNA DSB website)</w:t>
      </w:r>
    </w:p>
    <w:p w14:paraId="54585AC1" w14:textId="77777777" w:rsidR="007625FD" w:rsidRDefault="007625FD" w:rsidP="007625FD">
      <w:pPr>
        <w:spacing w:after="0"/>
      </w:pPr>
    </w:p>
    <w:p w14:paraId="49357D3D" w14:textId="493D96B4" w:rsidR="007625FD" w:rsidRDefault="007625FD" w:rsidP="007625FD">
      <w:pPr>
        <w:spacing w:after="0"/>
        <w:rPr>
          <w:lang w:val="en-GB"/>
        </w:rPr>
      </w:pPr>
      <w:r w:rsidRPr="00D44825">
        <w:rPr>
          <w:b/>
          <w:u w:val="single"/>
        </w:rPr>
        <w:t>DS</w:t>
      </w:r>
      <w:r>
        <w:rPr>
          <w:b/>
          <w:bCs/>
          <w:u w:val="single"/>
        </w:rPr>
        <w:t>B</w:t>
      </w:r>
      <w:r w:rsidRPr="00D44825">
        <w:rPr>
          <w:b/>
          <w:u w:val="single"/>
        </w:rPr>
        <w:t xml:space="preserve"> Proposal:</w:t>
      </w:r>
    </w:p>
    <w:p w14:paraId="24127457" w14:textId="77777777" w:rsidR="007625FD" w:rsidRPr="0072363F" w:rsidRDefault="007625FD" w:rsidP="0072363F">
      <w:pPr>
        <w:jc w:val="both"/>
      </w:pPr>
      <w:r>
        <w:rPr>
          <w:lang w:val="en-GB"/>
        </w:rPr>
        <w:t>In principle, the scope of these events for the UPI Service will mirror that for the OTC ISIN Service.</w:t>
      </w:r>
    </w:p>
    <w:p w14:paraId="44480C69" w14:textId="77777777" w:rsidR="007625FD" w:rsidRPr="0072363F" w:rsidRDefault="007625FD" w:rsidP="0072363F">
      <w:pPr>
        <w:jc w:val="both"/>
      </w:pPr>
      <w:r w:rsidRPr="0072363F">
        <w:t>In line with the approach to the initial UPI Onboarding process, and principles outlined above:</w:t>
      </w:r>
    </w:p>
    <w:p w14:paraId="1B1102C5" w14:textId="00DA47ED" w:rsidR="007625FD" w:rsidRPr="0072363F" w:rsidRDefault="007625FD" w:rsidP="007625FD">
      <w:pPr>
        <w:pStyle w:val="ListParagraph"/>
        <w:numPr>
          <w:ilvl w:val="0"/>
          <w:numId w:val="16"/>
        </w:numPr>
        <w:autoSpaceDE/>
        <w:autoSpaceDN/>
        <w:adjustRightInd/>
        <w:spacing w:before="0" w:line="276" w:lineRule="auto"/>
        <w:ind w:right="0"/>
        <w:contextualSpacing/>
        <w:jc w:val="both"/>
        <w:rPr>
          <w:sz w:val="22"/>
          <w:szCs w:val="22"/>
        </w:rPr>
      </w:pPr>
      <w:r w:rsidRPr="0072363F">
        <w:rPr>
          <w:sz w:val="22"/>
          <w:szCs w:val="22"/>
        </w:rPr>
        <w:t xml:space="preserve">There will be a range of online content to allow UPI clients to find answers to common questions relating to the </w:t>
      </w:r>
      <w:r w:rsidR="00F07F21">
        <w:rPr>
          <w:sz w:val="22"/>
          <w:szCs w:val="22"/>
        </w:rPr>
        <w:t>UPI Service</w:t>
      </w:r>
      <w:r w:rsidRPr="0072363F">
        <w:rPr>
          <w:sz w:val="22"/>
          <w:szCs w:val="22"/>
        </w:rPr>
        <w:t xml:space="preserve"> and COSP.</w:t>
      </w:r>
    </w:p>
    <w:p w14:paraId="76A4053F" w14:textId="77777777" w:rsidR="007625FD" w:rsidRPr="0072363F" w:rsidRDefault="007625FD" w:rsidP="007625FD">
      <w:pPr>
        <w:pStyle w:val="ListParagraph"/>
        <w:numPr>
          <w:ilvl w:val="0"/>
          <w:numId w:val="16"/>
        </w:numPr>
        <w:autoSpaceDE/>
        <w:autoSpaceDN/>
        <w:adjustRightInd/>
        <w:spacing w:before="0" w:line="276" w:lineRule="auto"/>
        <w:ind w:right="0"/>
        <w:contextualSpacing/>
        <w:jc w:val="both"/>
        <w:rPr>
          <w:sz w:val="22"/>
          <w:szCs w:val="22"/>
        </w:rPr>
      </w:pPr>
      <w:r w:rsidRPr="0072363F">
        <w:rPr>
          <w:sz w:val="22"/>
          <w:szCs w:val="22"/>
        </w:rPr>
        <w:t>These events will be primarily managed on the COSP for UPI clients, with assistance provided by the DSB Support teams where required.</w:t>
      </w:r>
    </w:p>
    <w:p w14:paraId="0D6A3F3F" w14:textId="77777777" w:rsidR="007625FD" w:rsidRPr="0072363F" w:rsidRDefault="007625FD" w:rsidP="007625FD">
      <w:pPr>
        <w:pStyle w:val="ListParagraph"/>
        <w:numPr>
          <w:ilvl w:val="0"/>
          <w:numId w:val="16"/>
        </w:numPr>
        <w:autoSpaceDE/>
        <w:autoSpaceDN/>
        <w:adjustRightInd/>
        <w:spacing w:before="0" w:line="276" w:lineRule="auto"/>
        <w:ind w:right="0"/>
        <w:contextualSpacing/>
        <w:jc w:val="both"/>
        <w:rPr>
          <w:sz w:val="22"/>
          <w:szCs w:val="22"/>
        </w:rPr>
      </w:pPr>
      <w:r w:rsidRPr="0072363F">
        <w:rPr>
          <w:sz w:val="22"/>
          <w:szCs w:val="22"/>
        </w:rPr>
        <w:t>Where these events necessitate amendment to existing paperwork, or generate a new Subscription Form, data entered by the client online via the COSP will be used to pre-populate the relevant document template for client review and approval.</w:t>
      </w:r>
    </w:p>
    <w:p w14:paraId="40090304" w14:textId="77777777" w:rsidR="007625FD" w:rsidRPr="0072363F" w:rsidRDefault="007625FD" w:rsidP="007625FD">
      <w:pPr>
        <w:pStyle w:val="ListParagraph"/>
        <w:numPr>
          <w:ilvl w:val="0"/>
          <w:numId w:val="16"/>
        </w:numPr>
        <w:autoSpaceDE/>
        <w:autoSpaceDN/>
        <w:adjustRightInd/>
        <w:spacing w:before="0" w:line="276" w:lineRule="auto"/>
        <w:ind w:right="0"/>
        <w:contextualSpacing/>
        <w:jc w:val="both"/>
        <w:rPr>
          <w:sz w:val="22"/>
          <w:szCs w:val="22"/>
        </w:rPr>
      </w:pPr>
      <w:r w:rsidRPr="0072363F">
        <w:rPr>
          <w:sz w:val="22"/>
          <w:szCs w:val="22"/>
        </w:rPr>
        <w:t>Client digital signature(s) will be applied to the documentation upon client approval (with the DSB signature having already been added to the execution block digitally before being presented to the client for review and acceptance).</w:t>
      </w:r>
    </w:p>
    <w:p w14:paraId="34C593F5" w14:textId="77777777" w:rsidR="007625FD" w:rsidRPr="0072363F" w:rsidRDefault="007625FD" w:rsidP="007625FD">
      <w:pPr>
        <w:pStyle w:val="ListParagraph"/>
        <w:numPr>
          <w:ilvl w:val="0"/>
          <w:numId w:val="16"/>
        </w:numPr>
        <w:autoSpaceDE/>
        <w:autoSpaceDN/>
        <w:adjustRightInd/>
        <w:spacing w:before="0" w:line="276" w:lineRule="auto"/>
        <w:ind w:right="0"/>
        <w:contextualSpacing/>
        <w:jc w:val="both"/>
        <w:rPr>
          <w:sz w:val="22"/>
          <w:szCs w:val="22"/>
        </w:rPr>
      </w:pPr>
      <w:r w:rsidRPr="0072363F">
        <w:rPr>
          <w:sz w:val="22"/>
          <w:szCs w:val="22"/>
        </w:rPr>
        <w:t>Notifications and updates to clients will be primarily system driven from within the COSP.</w:t>
      </w:r>
    </w:p>
    <w:p w14:paraId="1ACA003D" w14:textId="77777777" w:rsidR="007625FD" w:rsidRPr="0072363F" w:rsidRDefault="007625FD" w:rsidP="007625FD">
      <w:pPr>
        <w:spacing w:after="0"/>
        <w:jc w:val="both"/>
        <w:rPr>
          <w:lang w:val="en-GB"/>
        </w:rPr>
      </w:pPr>
    </w:p>
    <w:p w14:paraId="5277DCA8" w14:textId="77777777" w:rsidR="007625FD" w:rsidRDefault="007625FD" w:rsidP="007625FD">
      <w:pPr>
        <w:jc w:val="both"/>
      </w:pPr>
      <w:r>
        <w:t>There is no change to the existing mechanism for handling in-life events for OTC clients.</w:t>
      </w:r>
    </w:p>
    <w:p w14:paraId="5B58F138" w14:textId="77777777" w:rsidR="007625FD" w:rsidRPr="000802BE" w:rsidRDefault="007625FD" w:rsidP="007625FD">
      <w:pPr>
        <w:jc w:val="both"/>
      </w:pPr>
      <w:r w:rsidRPr="009C7652">
        <w:t xml:space="preserve">For support </w:t>
      </w:r>
      <w:r>
        <w:t>issues and queries, the</w:t>
      </w:r>
      <w:r w:rsidRPr="000802BE">
        <w:t xml:space="preserve"> default approach for UPI </w:t>
      </w:r>
      <w:r>
        <w:t xml:space="preserve">fee-paying </w:t>
      </w:r>
      <w:r w:rsidRPr="000802BE">
        <w:t xml:space="preserve">clients will be to raise a support ticket for queries and issues (that cannot be self-diagnosed via information available on the DSB website) via the </w:t>
      </w:r>
      <w:r>
        <w:t xml:space="preserve">COSP. </w:t>
      </w:r>
      <w:r w:rsidRPr="000802BE">
        <w:t xml:space="preserve">Until such a time that OTC ISIN clients are transitioned onto the </w:t>
      </w:r>
      <w:r>
        <w:t>COSP</w:t>
      </w:r>
      <w:r w:rsidRPr="000802BE">
        <w:t xml:space="preserve">, they will continue to use </w:t>
      </w:r>
      <w:r>
        <w:t xml:space="preserve">the existing </w:t>
      </w:r>
      <w:r w:rsidRPr="000802BE">
        <w:t>email</w:t>
      </w:r>
      <w:r>
        <w:t xml:space="preserve"> channel</w:t>
      </w:r>
      <w:r w:rsidRPr="000802BE">
        <w:t xml:space="preserve"> as the default approach for raising requests for support.</w:t>
      </w:r>
    </w:p>
    <w:p w14:paraId="7E2AE986" w14:textId="77777777" w:rsidR="007625FD" w:rsidRPr="009C7652" w:rsidRDefault="007625FD" w:rsidP="007625FD">
      <w:pPr>
        <w:jc w:val="both"/>
      </w:pPr>
      <w:r w:rsidRPr="009C7652">
        <w:t xml:space="preserve">As outlined in section </w:t>
      </w:r>
      <w:r w:rsidRPr="009C7652">
        <w:fldChar w:fldCharType="begin"/>
      </w:r>
      <w:r w:rsidRPr="009C7652">
        <w:instrText xml:space="preserve"> REF _Ref83800868 \r \h  \* MERGEFORMAT </w:instrText>
      </w:r>
      <w:r w:rsidRPr="009C7652">
        <w:fldChar w:fldCharType="separate"/>
      </w:r>
      <w:r w:rsidRPr="009C7652">
        <w:t>5.2</w:t>
      </w:r>
      <w:r w:rsidRPr="009C7652">
        <w:fldChar w:fldCharType="end"/>
      </w:r>
      <w:r w:rsidRPr="009C7652">
        <w:t>, each subscription is a separate legal agreement comprising the Subscription details, Main Terms and Policies. As such, action can be taken in-life on any subscription in isolation or on multiple subscriptions in parallel.</w:t>
      </w:r>
    </w:p>
    <w:p w14:paraId="4F4DC75E" w14:textId="77777777" w:rsidR="007625FD" w:rsidRPr="009C7652" w:rsidRDefault="007625FD" w:rsidP="007625FD">
      <w:pPr>
        <w:jc w:val="both"/>
      </w:pPr>
      <w:r>
        <w:lastRenderedPageBreak/>
        <w:t xml:space="preserve">Clients may wish in-life to add a subscription, which can be for the same combination of DSB Service and </w:t>
      </w:r>
      <w:r w:rsidDel="00D3207B">
        <w:t>User</w:t>
      </w:r>
      <w:r>
        <w:t xml:space="preserve"> Type as an existing subscription.</w:t>
      </w:r>
    </w:p>
    <w:p w14:paraId="75E64D91" w14:textId="6ED7107C" w:rsidR="007625FD" w:rsidRDefault="007625FD" w:rsidP="007625FD">
      <w:pPr>
        <w:jc w:val="both"/>
      </w:pPr>
      <w:r w:rsidRPr="009C7652">
        <w:t xml:space="preserve">For a combined User of both OTC ISIN and </w:t>
      </w:r>
      <w:r w:rsidR="00F07F21">
        <w:t>UPI Service</w:t>
      </w:r>
      <w:r w:rsidRPr="009C7652">
        <w:t xml:space="preserve">s, it </w:t>
      </w:r>
      <w:r>
        <w:t>will</w:t>
      </w:r>
      <w:r w:rsidRPr="009C7652">
        <w:t xml:space="preserve"> be possible for a client to terminate </w:t>
      </w:r>
      <w:r>
        <w:t xml:space="preserve">subscription related to </w:t>
      </w:r>
      <w:r w:rsidRPr="009C7652">
        <w:t xml:space="preserve">one service, but not the </w:t>
      </w:r>
      <w:proofErr w:type="gramStart"/>
      <w:r w:rsidRPr="009C7652">
        <w:t>other</w:t>
      </w:r>
      <w:r>
        <w:t>;</w:t>
      </w:r>
      <w:proofErr w:type="gramEnd"/>
      <w:r>
        <w:t xml:space="preserve"> or both. </w:t>
      </w:r>
    </w:p>
    <w:p w14:paraId="1F3AAD83" w14:textId="642530E3" w:rsidR="007625FD" w:rsidRDefault="007625FD" w:rsidP="007625FD">
      <w:pPr>
        <w:jc w:val="both"/>
      </w:pPr>
      <w:r>
        <w:t xml:space="preserve">In terms of the Acceptable Use Policy, for a combined User of both OTC ISIN and UPI Services, if there is a breach of the policy for the </w:t>
      </w:r>
      <w:r w:rsidR="00F07F21">
        <w:t>UPI Service</w:t>
      </w:r>
      <w:r>
        <w:t>, the DSB will have the discretion to suspend subscriptions across both services via cross-subscription provisions.</w:t>
      </w:r>
    </w:p>
    <w:p w14:paraId="291F3B8E" w14:textId="77777777" w:rsidR="007625FD" w:rsidRDefault="007625FD" w:rsidP="007625FD">
      <w:pPr>
        <w:jc w:val="both"/>
        <w:rPr>
          <w:b/>
          <w:bCs/>
          <w:u w:val="single"/>
        </w:rPr>
      </w:pPr>
      <w:r>
        <w:t xml:space="preserve">In terms of non-payment for a combined User of both OTC ISIN and UPI Services, if there is non-payment for subscriptions related to one service which </w:t>
      </w:r>
      <w:proofErr w:type="gramStart"/>
      <w:r>
        <w:t>lead</w:t>
      </w:r>
      <w:proofErr w:type="gramEnd"/>
      <w:r>
        <w:t xml:space="preserve"> to service suspension, subscriptions related to both services would be suspended. </w:t>
      </w:r>
    </w:p>
    <w:p w14:paraId="2E3C7C92" w14:textId="77777777" w:rsidR="007625FD" w:rsidRDefault="007625FD" w:rsidP="007625FD"/>
    <w:bookmarkStart w:id="113" w:name="_Toc86680482"/>
    <w:p w14:paraId="6183B98A" w14:textId="77777777" w:rsidR="007625FD" w:rsidRPr="009C5AC0" w:rsidRDefault="007625FD" w:rsidP="007625FD">
      <w:pPr>
        <w:pStyle w:val="Heading2"/>
        <w:spacing w:before="0" w:line="276" w:lineRule="auto"/>
        <w:rPr>
          <w:u w:val="single"/>
        </w:rPr>
      </w:pPr>
      <w:r w:rsidRPr="009C5AC0">
        <w:rPr>
          <w:noProof/>
        </w:rPr>
        <mc:AlternateContent>
          <mc:Choice Requires="wps">
            <w:drawing>
              <wp:anchor distT="45720" distB="45720" distL="114300" distR="114300" simplePos="0" relativeHeight="251658245" behindDoc="0" locked="0" layoutInCell="1" allowOverlap="1" wp14:anchorId="129709DF" wp14:editId="476267D5">
                <wp:simplePos x="0" y="0"/>
                <wp:positionH relativeFrom="margin">
                  <wp:posOffset>-98590</wp:posOffset>
                </wp:positionH>
                <wp:positionV relativeFrom="paragraph">
                  <wp:posOffset>307734</wp:posOffset>
                </wp:positionV>
                <wp:extent cx="5716905" cy="1404620"/>
                <wp:effectExtent l="0" t="0" r="17145" b="152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rgbClr val="FFFFFF"/>
                        </a:solidFill>
                        <a:ln w="9525">
                          <a:solidFill>
                            <a:srgbClr val="04AEB9"/>
                          </a:solidFill>
                          <a:miter lim="800000"/>
                          <a:headEnd/>
                          <a:tailEnd/>
                        </a:ln>
                      </wps:spPr>
                      <wps:txbx>
                        <w:txbxContent>
                          <w:p w14:paraId="7AAD1ADA"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5DEC0F9C" w14:textId="77777777" w:rsidR="007625FD" w:rsidRDefault="007625FD" w:rsidP="00BC5A92">
                            <w:pPr>
                              <w:spacing w:after="0"/>
                              <w:jc w:val="both"/>
                            </w:pPr>
                            <w:r>
                              <w:t>A</w:t>
                            </w:r>
                            <w:r w:rsidRPr="003A6D6E">
                              <w:t xml:space="preserve">nalysis is underway in consultation with the DSB’s Technical Advisory Committee on the potential impact on latency for the existing OTC ISIN </w:t>
                            </w:r>
                            <w:r>
                              <w:t>S</w:t>
                            </w:r>
                            <w:r w:rsidRPr="003A6D6E">
                              <w:t xml:space="preserve">ervice given that the UPI Parent will be required to be created in addition to the </w:t>
                            </w:r>
                            <w:r>
                              <w:t xml:space="preserve">OTC </w:t>
                            </w:r>
                            <w:r w:rsidRPr="003A6D6E">
                              <w:t>ISIN. This may result in a revision of the existing OTC ISIN SLA for latency.</w:t>
                            </w:r>
                          </w:p>
                          <w:p w14:paraId="441FBB99" w14:textId="77777777" w:rsidR="007625FD" w:rsidRDefault="007625FD" w:rsidP="00BC5A92">
                            <w:pPr>
                              <w:spacing w:after="0"/>
                              <w:jc w:val="both"/>
                            </w:pPr>
                          </w:p>
                          <w:p w14:paraId="106CB3F4" w14:textId="77777777" w:rsidR="007625FD" w:rsidRDefault="007625FD" w:rsidP="00BC5A92">
                            <w:pPr>
                              <w:spacing w:after="0"/>
                              <w:jc w:val="both"/>
                              <w:rPr>
                                <w:lang w:val="en-GB"/>
                              </w:rPr>
                            </w:pPr>
                            <w:r>
                              <w:rPr>
                                <w:lang w:val="en-GB"/>
                              </w:rPr>
                              <w:t>Notwithstanding impact analysis on the existing OTC ISIN SLAs, the design principle for the UPI Service is that at a minimum the OTC ISIN SLAs will apply, such that there is consistency across the services.</w:t>
                            </w:r>
                          </w:p>
                          <w:p w14:paraId="3540432D" w14:textId="77777777" w:rsidR="007625FD" w:rsidRDefault="007625FD" w:rsidP="00BC5A92">
                            <w:pPr>
                              <w:spacing w:after="0"/>
                              <w:jc w:val="both"/>
                            </w:pPr>
                          </w:p>
                          <w:p w14:paraId="7D5DDD47" w14:textId="58C54421" w:rsidR="007625FD" w:rsidRDefault="007625FD" w:rsidP="00BC5A92">
                            <w:pPr>
                              <w:spacing w:after="0"/>
                              <w:jc w:val="both"/>
                            </w:pPr>
                            <w:r>
                              <w:rPr>
                                <w:lang w:val="en-GB"/>
                              </w:rPr>
                              <w:t>The SLOs (Service Level Objectives) for the new COSP will also be to match</w:t>
                            </w:r>
                            <w:r w:rsidR="00C46C53">
                              <w:rPr>
                                <w:lang w:val="en-GB"/>
                              </w:rPr>
                              <w:t xml:space="preserve"> at a minimum</w:t>
                            </w:r>
                            <w:r>
                              <w:rPr>
                                <w:lang w:val="en-GB"/>
                              </w:rPr>
                              <w:t xml:space="preserve"> the SLAs for the current OTC ISIN Service.</w:t>
                            </w:r>
                          </w:p>
                          <w:p w14:paraId="14FED505" w14:textId="77777777" w:rsidR="007625FD" w:rsidRPr="00EF0F29" w:rsidRDefault="007625FD" w:rsidP="00BC5A92">
                            <w:pPr>
                              <w:spacing w:after="0"/>
                              <w:jc w:val="both"/>
                              <w:rPr>
                                <w:rStyle w:val="normaltextrun"/>
                              </w:rPr>
                            </w:pPr>
                          </w:p>
                          <w:p w14:paraId="0F3EEDC5" w14:textId="5D008355" w:rsidR="007625FD" w:rsidRDefault="007625FD" w:rsidP="00BC5A92">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9a</w:t>
                            </w:r>
                            <w:r w:rsidRPr="0076032B">
                              <w:rPr>
                                <w:rStyle w:val="normaltextrun"/>
                                <w:rFonts w:cstheme="minorHAnsi"/>
                                <w:b/>
                                <w:bCs/>
                                <w:color w:val="000000"/>
                              </w:rPr>
                              <w:t xml:space="preserve">: </w:t>
                            </w:r>
                            <w:r w:rsidRPr="00186F48">
                              <w:rPr>
                                <w:rStyle w:val="normaltextrun"/>
                                <w:rFonts w:cstheme="minorHAnsi"/>
                                <w:b/>
                                <w:i/>
                                <w:color w:val="000000"/>
                              </w:rPr>
                              <w:t xml:space="preserve">Do you think it </w:t>
                            </w:r>
                            <w:r>
                              <w:rPr>
                                <w:rStyle w:val="normaltextrun"/>
                                <w:rFonts w:cstheme="minorHAnsi"/>
                                <w:b/>
                                <w:bCs/>
                                <w:i/>
                                <w:iCs/>
                                <w:color w:val="000000"/>
                              </w:rPr>
                              <w:t xml:space="preserve">is </w:t>
                            </w:r>
                            <w:r w:rsidRPr="00186F48">
                              <w:rPr>
                                <w:rStyle w:val="normaltextrun"/>
                                <w:rFonts w:cstheme="minorHAnsi"/>
                                <w:b/>
                                <w:i/>
                                <w:color w:val="000000"/>
                              </w:rPr>
                              <w:t>reasonable to apply in principle</w:t>
                            </w:r>
                            <w:r>
                              <w:rPr>
                                <w:rStyle w:val="normaltextrun"/>
                                <w:rFonts w:cstheme="minorHAnsi"/>
                                <w:b/>
                                <w:bCs/>
                                <w:i/>
                                <w:iCs/>
                                <w:color w:val="000000"/>
                              </w:rPr>
                              <w:t xml:space="preserve"> to extend</w:t>
                            </w:r>
                            <w:r w:rsidRPr="00186F48">
                              <w:rPr>
                                <w:rStyle w:val="normaltextrun"/>
                                <w:rFonts w:cstheme="minorHAnsi"/>
                                <w:b/>
                                <w:i/>
                                <w:color w:val="000000"/>
                              </w:rPr>
                              <w:t xml:space="preserve"> the OTC ISIN SLAs to the </w:t>
                            </w:r>
                            <w:r w:rsidR="00F07F21">
                              <w:rPr>
                                <w:rStyle w:val="normaltextrun"/>
                                <w:rFonts w:cstheme="minorHAnsi"/>
                                <w:b/>
                                <w:i/>
                                <w:color w:val="000000"/>
                              </w:rPr>
                              <w:t>UPI Service</w:t>
                            </w:r>
                            <w:r w:rsidRPr="00186F48">
                              <w:rPr>
                                <w:rStyle w:val="normaltextrun"/>
                                <w:rFonts w:cstheme="minorHAnsi"/>
                                <w:b/>
                                <w:i/>
                                <w:color w:val="000000"/>
                              </w:rPr>
                              <w:t xml:space="preserve"> and </w:t>
                            </w:r>
                            <w:r>
                              <w:rPr>
                                <w:rStyle w:val="normaltextrun"/>
                                <w:rFonts w:cstheme="minorHAnsi"/>
                                <w:b/>
                                <w:i/>
                                <w:color w:val="000000"/>
                              </w:rPr>
                              <w:t>COSP</w:t>
                            </w:r>
                            <w:r w:rsidRPr="00186F48">
                              <w:rPr>
                                <w:rStyle w:val="normaltextrun"/>
                                <w:rFonts w:cstheme="minorHAnsi"/>
                                <w:b/>
                                <w:i/>
                                <w:color w:val="000000"/>
                              </w:rPr>
                              <w:t xml:space="preserve"> platform?</w:t>
                            </w:r>
                          </w:p>
                          <w:p w14:paraId="7C3466F2" w14:textId="6542A194" w:rsidR="007625FD" w:rsidRPr="00471A99" w:rsidRDefault="007625FD" w:rsidP="00BC5A92">
                            <w:pPr>
                              <w:jc w:val="both"/>
                              <w:rPr>
                                <w:rStyle w:val="normaltextrun"/>
                                <w:rFonts w:cstheme="minorHAnsi"/>
                                <w:b/>
                                <w:bCs/>
                                <w:i/>
                                <w:iCs/>
                                <w:color w:val="000000"/>
                              </w:rPr>
                            </w:pPr>
                            <w:r w:rsidRPr="00186F48">
                              <w:rPr>
                                <w:rStyle w:val="normaltextrun"/>
                                <w:rFonts w:cstheme="minorHAnsi"/>
                                <w:b/>
                                <w:color w:val="000000"/>
                              </w:rPr>
                              <w:t xml:space="preserve">Question </w:t>
                            </w:r>
                            <w:r>
                              <w:rPr>
                                <w:rStyle w:val="normaltextrun"/>
                                <w:rFonts w:cstheme="minorHAnsi"/>
                                <w:b/>
                                <w:color w:val="000000"/>
                              </w:rPr>
                              <w:t>9</w:t>
                            </w:r>
                            <w:r w:rsidRPr="00186F48">
                              <w:rPr>
                                <w:rStyle w:val="normaltextrun"/>
                                <w:rFonts w:cstheme="minorHAnsi"/>
                                <w:b/>
                                <w:color w:val="000000"/>
                              </w:rPr>
                              <w:t>b:</w:t>
                            </w:r>
                            <w:r>
                              <w:rPr>
                                <w:rStyle w:val="normaltextrun"/>
                                <w:rFonts w:cstheme="minorHAnsi"/>
                                <w:b/>
                                <w:bCs/>
                                <w:i/>
                                <w:iCs/>
                                <w:color w:val="000000"/>
                              </w:rPr>
                              <w:t xml:space="preserve"> If not, what expectations do you have for the SLAs for the </w:t>
                            </w:r>
                            <w:r w:rsidR="00F07F21">
                              <w:rPr>
                                <w:rStyle w:val="normaltextrun"/>
                                <w:rFonts w:cstheme="minorHAnsi"/>
                                <w:b/>
                                <w:bCs/>
                                <w:i/>
                                <w:iCs/>
                                <w:color w:val="000000"/>
                              </w:rPr>
                              <w:t>UPI Service</w:t>
                            </w:r>
                            <w:r w:rsidRPr="002D7CE1">
                              <w:rPr>
                                <w:rStyle w:val="normaltextrun"/>
                                <w:rFonts w:cstheme="minorHAnsi"/>
                                <w:b/>
                                <w:bCs/>
                                <w:i/>
                                <w:iCs/>
                                <w:color w:val="000000"/>
                              </w:rPr>
                              <w:t xml:space="preserve"> and </w:t>
                            </w:r>
                            <w:r>
                              <w:rPr>
                                <w:rStyle w:val="normaltextrun"/>
                                <w:rFonts w:cstheme="minorHAnsi"/>
                                <w:b/>
                                <w:bCs/>
                                <w:i/>
                                <w:iCs/>
                                <w:color w:val="000000"/>
                              </w:rPr>
                              <w:t>COSP</w:t>
                            </w:r>
                            <w:r w:rsidRPr="002D7CE1">
                              <w:rPr>
                                <w:rStyle w:val="normaltextrun"/>
                                <w:rFonts w:cstheme="minorHAnsi"/>
                                <w:b/>
                                <w:bCs/>
                                <w:i/>
                                <w:iCs/>
                                <w:color w:val="000000"/>
                              </w:rPr>
                              <w:t xml:space="preserve"> platform?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9709DF" id="_x0000_s1035" type="#_x0000_t202" style="position:absolute;left:0;text-align:left;margin-left:-7.75pt;margin-top:24.25pt;width:450.15pt;height:110.6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" strokecolor="#04aeb9">
                <v:textbox style="mso-fit-shape-to-text:t">
                  <w:txbxContent>
                    <w:p w14:paraId="7AAD1ADA"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5DEC0F9C" w14:textId="77777777" w:rsidR="007625FD" w:rsidRDefault="007625FD" w:rsidP="00BC5A92">
                      <w:pPr>
                        <w:spacing w:after="0"/>
                        <w:jc w:val="both"/>
                      </w:pPr>
                      <w:r>
                        <w:t>A</w:t>
                      </w:r>
                      <w:r w:rsidRPr="003A6D6E">
                        <w:t xml:space="preserve">nalysis is underway in consultation with the DSB’s Technical Advisory Committee on the potential impact on latency for the existing OTC ISIN </w:t>
                      </w:r>
                      <w:r>
                        <w:t>S</w:t>
                      </w:r>
                      <w:r w:rsidRPr="003A6D6E">
                        <w:t xml:space="preserve">ervice given that the UPI Parent will be required to be created in addition to the </w:t>
                      </w:r>
                      <w:r>
                        <w:t xml:space="preserve">OTC </w:t>
                      </w:r>
                      <w:r w:rsidRPr="003A6D6E">
                        <w:t>ISIN. This may result in a revision of the existing OTC ISIN SLA for latency.</w:t>
                      </w:r>
                    </w:p>
                    <w:p w14:paraId="441FBB99" w14:textId="77777777" w:rsidR="007625FD" w:rsidRDefault="007625FD" w:rsidP="00BC5A92">
                      <w:pPr>
                        <w:spacing w:after="0"/>
                        <w:jc w:val="both"/>
                      </w:pPr>
                    </w:p>
                    <w:p w14:paraId="106CB3F4" w14:textId="77777777" w:rsidR="007625FD" w:rsidRDefault="007625FD" w:rsidP="00BC5A92">
                      <w:pPr>
                        <w:spacing w:after="0"/>
                        <w:jc w:val="both"/>
                        <w:rPr>
                          <w:lang w:val="en-GB"/>
                        </w:rPr>
                      </w:pPr>
                      <w:r>
                        <w:rPr>
                          <w:lang w:val="en-GB"/>
                        </w:rPr>
                        <w:t>Notwithstanding impact analysis on the existing OTC ISIN SLAs, the design principle for the UPI Service is that at a minimum the OTC ISIN SLAs will apply, such that there is consistency across the services.</w:t>
                      </w:r>
                    </w:p>
                    <w:p w14:paraId="3540432D" w14:textId="77777777" w:rsidR="007625FD" w:rsidRDefault="007625FD" w:rsidP="00BC5A92">
                      <w:pPr>
                        <w:spacing w:after="0"/>
                        <w:jc w:val="both"/>
                      </w:pPr>
                    </w:p>
                    <w:p w14:paraId="7D5DDD47" w14:textId="58C54421" w:rsidR="007625FD" w:rsidRDefault="007625FD" w:rsidP="00BC5A92">
                      <w:pPr>
                        <w:spacing w:after="0"/>
                        <w:jc w:val="both"/>
                      </w:pPr>
                      <w:r>
                        <w:rPr>
                          <w:lang w:val="en-GB"/>
                        </w:rPr>
                        <w:t>The SLOs (Service Level Objectives) for the new COSP will also be to match</w:t>
                      </w:r>
                      <w:r w:rsidR="00C46C53">
                        <w:rPr>
                          <w:lang w:val="en-GB"/>
                        </w:rPr>
                        <w:t xml:space="preserve"> at a minimum</w:t>
                      </w:r>
                      <w:r>
                        <w:rPr>
                          <w:lang w:val="en-GB"/>
                        </w:rPr>
                        <w:t xml:space="preserve"> the SLAs for the current OTC ISIN Service.</w:t>
                      </w:r>
                    </w:p>
                    <w:p w14:paraId="14FED505" w14:textId="77777777" w:rsidR="007625FD" w:rsidRPr="00EF0F29" w:rsidRDefault="007625FD" w:rsidP="00BC5A92">
                      <w:pPr>
                        <w:spacing w:after="0"/>
                        <w:jc w:val="both"/>
                        <w:rPr>
                          <w:rStyle w:val="normaltextrun"/>
                        </w:rPr>
                      </w:pPr>
                    </w:p>
                    <w:p w14:paraId="0F3EEDC5" w14:textId="5D008355" w:rsidR="007625FD" w:rsidRDefault="007625FD" w:rsidP="00BC5A92">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9a</w:t>
                      </w:r>
                      <w:r w:rsidRPr="0076032B">
                        <w:rPr>
                          <w:rStyle w:val="normaltextrun"/>
                          <w:rFonts w:cstheme="minorHAnsi"/>
                          <w:b/>
                          <w:bCs/>
                          <w:color w:val="000000"/>
                        </w:rPr>
                        <w:t xml:space="preserve">: </w:t>
                      </w:r>
                      <w:r w:rsidRPr="00186F48">
                        <w:rPr>
                          <w:rStyle w:val="normaltextrun"/>
                          <w:rFonts w:cstheme="minorHAnsi"/>
                          <w:b/>
                          <w:i/>
                          <w:color w:val="000000"/>
                        </w:rPr>
                        <w:t xml:space="preserve">Do you think it </w:t>
                      </w:r>
                      <w:r>
                        <w:rPr>
                          <w:rStyle w:val="normaltextrun"/>
                          <w:rFonts w:cstheme="minorHAnsi"/>
                          <w:b/>
                          <w:bCs/>
                          <w:i/>
                          <w:iCs/>
                          <w:color w:val="000000"/>
                        </w:rPr>
                        <w:t xml:space="preserve">is </w:t>
                      </w:r>
                      <w:r w:rsidRPr="00186F48">
                        <w:rPr>
                          <w:rStyle w:val="normaltextrun"/>
                          <w:rFonts w:cstheme="minorHAnsi"/>
                          <w:b/>
                          <w:i/>
                          <w:color w:val="000000"/>
                        </w:rPr>
                        <w:t>reasonable to apply in principle</w:t>
                      </w:r>
                      <w:r>
                        <w:rPr>
                          <w:rStyle w:val="normaltextrun"/>
                          <w:rFonts w:cstheme="minorHAnsi"/>
                          <w:b/>
                          <w:bCs/>
                          <w:i/>
                          <w:iCs/>
                          <w:color w:val="000000"/>
                        </w:rPr>
                        <w:t xml:space="preserve"> to extend</w:t>
                      </w:r>
                      <w:r w:rsidRPr="00186F48">
                        <w:rPr>
                          <w:rStyle w:val="normaltextrun"/>
                          <w:rFonts w:cstheme="minorHAnsi"/>
                          <w:b/>
                          <w:i/>
                          <w:color w:val="000000"/>
                        </w:rPr>
                        <w:t xml:space="preserve"> the OTC ISIN SLAs to the </w:t>
                      </w:r>
                      <w:r w:rsidR="00F07F21">
                        <w:rPr>
                          <w:rStyle w:val="normaltextrun"/>
                          <w:rFonts w:cstheme="minorHAnsi"/>
                          <w:b/>
                          <w:i/>
                          <w:color w:val="000000"/>
                        </w:rPr>
                        <w:t>UPI Service</w:t>
                      </w:r>
                      <w:r w:rsidRPr="00186F48">
                        <w:rPr>
                          <w:rStyle w:val="normaltextrun"/>
                          <w:rFonts w:cstheme="minorHAnsi"/>
                          <w:b/>
                          <w:i/>
                          <w:color w:val="000000"/>
                        </w:rPr>
                        <w:t xml:space="preserve"> and </w:t>
                      </w:r>
                      <w:r>
                        <w:rPr>
                          <w:rStyle w:val="normaltextrun"/>
                          <w:rFonts w:cstheme="minorHAnsi"/>
                          <w:b/>
                          <w:i/>
                          <w:color w:val="000000"/>
                        </w:rPr>
                        <w:t>COSP</w:t>
                      </w:r>
                      <w:r w:rsidRPr="00186F48">
                        <w:rPr>
                          <w:rStyle w:val="normaltextrun"/>
                          <w:rFonts w:cstheme="minorHAnsi"/>
                          <w:b/>
                          <w:i/>
                          <w:color w:val="000000"/>
                        </w:rPr>
                        <w:t xml:space="preserve"> platform?</w:t>
                      </w:r>
                    </w:p>
                    <w:p w14:paraId="7C3466F2" w14:textId="6542A194" w:rsidR="007625FD" w:rsidRPr="00471A99" w:rsidRDefault="007625FD" w:rsidP="00BC5A92">
                      <w:pPr>
                        <w:jc w:val="both"/>
                        <w:rPr>
                          <w:rStyle w:val="normaltextrun"/>
                          <w:rFonts w:cstheme="minorHAnsi"/>
                          <w:b/>
                          <w:bCs/>
                          <w:i/>
                          <w:iCs/>
                          <w:color w:val="000000"/>
                        </w:rPr>
                      </w:pPr>
                      <w:r w:rsidRPr="00186F48">
                        <w:rPr>
                          <w:rStyle w:val="normaltextrun"/>
                          <w:rFonts w:cstheme="minorHAnsi"/>
                          <w:b/>
                          <w:color w:val="000000"/>
                        </w:rPr>
                        <w:t xml:space="preserve">Question </w:t>
                      </w:r>
                      <w:r>
                        <w:rPr>
                          <w:rStyle w:val="normaltextrun"/>
                          <w:rFonts w:cstheme="minorHAnsi"/>
                          <w:b/>
                          <w:color w:val="000000"/>
                        </w:rPr>
                        <w:t>9</w:t>
                      </w:r>
                      <w:r w:rsidRPr="00186F48">
                        <w:rPr>
                          <w:rStyle w:val="normaltextrun"/>
                          <w:rFonts w:cstheme="minorHAnsi"/>
                          <w:b/>
                          <w:color w:val="000000"/>
                        </w:rPr>
                        <w:t>b:</w:t>
                      </w:r>
                      <w:r>
                        <w:rPr>
                          <w:rStyle w:val="normaltextrun"/>
                          <w:rFonts w:cstheme="minorHAnsi"/>
                          <w:b/>
                          <w:bCs/>
                          <w:i/>
                          <w:iCs/>
                          <w:color w:val="000000"/>
                        </w:rPr>
                        <w:t xml:space="preserve"> If not, what expectations do you have for the SLAs for the </w:t>
                      </w:r>
                      <w:r w:rsidR="00F07F21">
                        <w:rPr>
                          <w:rStyle w:val="normaltextrun"/>
                          <w:rFonts w:cstheme="minorHAnsi"/>
                          <w:b/>
                          <w:bCs/>
                          <w:i/>
                          <w:iCs/>
                          <w:color w:val="000000"/>
                        </w:rPr>
                        <w:t>UPI Service</w:t>
                      </w:r>
                      <w:r w:rsidRPr="002D7CE1">
                        <w:rPr>
                          <w:rStyle w:val="normaltextrun"/>
                          <w:rFonts w:cstheme="minorHAnsi"/>
                          <w:b/>
                          <w:bCs/>
                          <w:i/>
                          <w:iCs/>
                          <w:color w:val="000000"/>
                        </w:rPr>
                        <w:t xml:space="preserve"> and </w:t>
                      </w:r>
                      <w:r>
                        <w:rPr>
                          <w:rStyle w:val="normaltextrun"/>
                          <w:rFonts w:cstheme="minorHAnsi"/>
                          <w:b/>
                          <w:bCs/>
                          <w:i/>
                          <w:iCs/>
                          <w:color w:val="000000"/>
                        </w:rPr>
                        <w:t>COSP</w:t>
                      </w:r>
                      <w:r w:rsidRPr="002D7CE1">
                        <w:rPr>
                          <w:rStyle w:val="normaltextrun"/>
                          <w:rFonts w:cstheme="minorHAnsi"/>
                          <w:b/>
                          <w:bCs/>
                          <w:i/>
                          <w:iCs/>
                          <w:color w:val="000000"/>
                        </w:rPr>
                        <w:t xml:space="preserve"> platform?</w:t>
                      </w:r>
                    </w:p>
                  </w:txbxContent>
                </v:textbox>
                <w10:wrap type="square" anchorx="margin"/>
              </v:shape>
            </w:pict>
          </mc:Fallback>
        </mc:AlternateContent>
      </w:r>
      <w:r w:rsidRPr="009C5AC0">
        <w:t>Q9 - Service Level Agreements</w:t>
      </w:r>
      <w:bookmarkEnd w:id="113"/>
      <w:r w:rsidRPr="009C5AC0">
        <w:t xml:space="preserve"> </w:t>
      </w:r>
    </w:p>
    <w:p w14:paraId="1571CE6F" w14:textId="77777777" w:rsidR="007625FD" w:rsidRDefault="007625FD" w:rsidP="007625FD">
      <w:pPr>
        <w:jc w:val="both"/>
        <w:rPr>
          <w:b/>
          <w:bCs/>
          <w:u w:val="single"/>
        </w:rPr>
      </w:pPr>
    </w:p>
    <w:p w14:paraId="4A092FFF" w14:textId="77777777" w:rsidR="007625FD" w:rsidRDefault="007625FD" w:rsidP="007625FD">
      <w:pPr>
        <w:jc w:val="both"/>
        <w:rPr>
          <w:b/>
          <w:bCs/>
          <w:u w:val="single"/>
        </w:rPr>
      </w:pPr>
      <w:r>
        <w:rPr>
          <w:b/>
          <w:bCs/>
          <w:u w:val="single"/>
        </w:rPr>
        <w:t>Supporting Information:</w:t>
      </w:r>
    </w:p>
    <w:p w14:paraId="5D8321E7" w14:textId="452A9789" w:rsidR="007625FD" w:rsidRDefault="007625FD" w:rsidP="00BC5A92">
      <w:pPr>
        <w:spacing w:after="0"/>
        <w:jc w:val="both"/>
        <w:rPr>
          <w:lang w:val="en-GB"/>
        </w:rPr>
      </w:pPr>
      <w:r>
        <w:rPr>
          <w:lang w:val="en-GB"/>
        </w:rPr>
        <w:t xml:space="preserve">SLAs for the OTC </w:t>
      </w:r>
      <w:r w:rsidR="00F07F21">
        <w:rPr>
          <w:lang w:val="en-GB"/>
        </w:rPr>
        <w:t>ISIN Service</w:t>
      </w:r>
      <w:r>
        <w:rPr>
          <w:lang w:val="en-GB"/>
        </w:rPr>
        <w:t xml:space="preserve"> are currently contained within the </w:t>
      </w:r>
      <w:hyperlink r:id="rId38" w:history="1">
        <w:r w:rsidRPr="0027676E">
          <w:rPr>
            <w:rStyle w:val="Hyperlink"/>
            <w:lang w:val="en-GB"/>
          </w:rPr>
          <w:t>DSB Service Level Policy</w:t>
        </w:r>
      </w:hyperlink>
      <w:r>
        <w:rPr>
          <w:lang w:val="en-GB"/>
        </w:rPr>
        <w:t xml:space="preserve"> and </w:t>
      </w:r>
      <w:hyperlink r:id="rId39" w:history="1">
        <w:r w:rsidRPr="00F64957">
          <w:rPr>
            <w:rStyle w:val="Hyperlink"/>
            <w:lang w:val="en-GB"/>
          </w:rPr>
          <w:t>DSB Connectivity Policy</w:t>
        </w:r>
      </w:hyperlink>
      <w:r>
        <w:rPr>
          <w:lang w:val="en-GB"/>
        </w:rPr>
        <w:t xml:space="preserve"> for example relating to availability, incident management, latency and throughput. </w:t>
      </w:r>
    </w:p>
    <w:p w14:paraId="0AB873B6" w14:textId="77777777" w:rsidR="007625FD" w:rsidRDefault="007625FD" w:rsidP="00BC5A92">
      <w:pPr>
        <w:spacing w:after="0"/>
        <w:jc w:val="both"/>
        <w:rPr>
          <w:lang w:val="en-GB"/>
        </w:rPr>
      </w:pPr>
    </w:p>
    <w:p w14:paraId="613BC9F5" w14:textId="526B0BCB" w:rsidR="007625FD" w:rsidRPr="00D367BD" w:rsidRDefault="007625FD" w:rsidP="00BC5A92">
      <w:pPr>
        <w:jc w:val="both"/>
      </w:pPr>
      <w:r>
        <w:t xml:space="preserve">Analysis is underway in consultation with the DSB’s Technical Advisory Committee on the potential impact on latency for the existing OTC </w:t>
      </w:r>
      <w:r w:rsidR="00F07F21">
        <w:t>ISIN Service</w:t>
      </w:r>
      <w:r>
        <w:t xml:space="preserve"> given that the UPI Parent will be required to be created in addition to the ISIN. This may result in a revision of the existing OTC ISIN SLA for latency. OTC ISIN clients will be advised of any changes through the existing notification processes.</w:t>
      </w:r>
    </w:p>
    <w:p w14:paraId="4DBFA8B9" w14:textId="77777777" w:rsidR="007625FD" w:rsidRDefault="007625FD" w:rsidP="00BC5A92">
      <w:pPr>
        <w:spacing w:after="0"/>
        <w:jc w:val="both"/>
        <w:rPr>
          <w:lang w:val="en-GB"/>
        </w:rPr>
      </w:pPr>
    </w:p>
    <w:p w14:paraId="4CB8B08D" w14:textId="77777777" w:rsidR="007625FD" w:rsidRDefault="007625FD" w:rsidP="00BC5A92">
      <w:pPr>
        <w:jc w:val="both"/>
        <w:rPr>
          <w:lang w:val="en-GB"/>
        </w:rPr>
      </w:pPr>
      <w:r w:rsidRPr="00623841">
        <w:rPr>
          <w:b/>
          <w:bCs/>
          <w:u w:val="single"/>
        </w:rPr>
        <w:t>DSB Proposal:</w:t>
      </w:r>
    </w:p>
    <w:p w14:paraId="6459E7EA" w14:textId="59E04807" w:rsidR="007625FD" w:rsidRDefault="007625FD" w:rsidP="00BC5A92">
      <w:pPr>
        <w:spacing w:after="0"/>
        <w:jc w:val="both"/>
        <w:rPr>
          <w:lang w:val="en-GB"/>
        </w:rPr>
      </w:pPr>
      <w:r>
        <w:rPr>
          <w:lang w:val="en-GB"/>
        </w:rPr>
        <w:t xml:space="preserve">Notwithstanding impact analysis on the existing OTC ISIN SLAs, the design principle for the </w:t>
      </w:r>
      <w:r w:rsidR="00F07F21">
        <w:rPr>
          <w:lang w:val="en-GB"/>
        </w:rPr>
        <w:t>UPI Service</w:t>
      </w:r>
      <w:r>
        <w:rPr>
          <w:lang w:val="en-GB"/>
        </w:rPr>
        <w:t xml:space="preserve"> is that at a minimum the OTC ISIN SLAs will apply, such that there is consistency across the services.</w:t>
      </w:r>
    </w:p>
    <w:p w14:paraId="6822DBEA" w14:textId="77777777" w:rsidR="007625FD" w:rsidRDefault="007625FD" w:rsidP="00BC5A92">
      <w:pPr>
        <w:spacing w:after="0"/>
        <w:jc w:val="both"/>
        <w:rPr>
          <w:lang w:val="en-GB"/>
        </w:rPr>
      </w:pPr>
    </w:p>
    <w:p w14:paraId="1C5B8D08" w14:textId="592FB58F" w:rsidR="007625FD" w:rsidRDefault="007625FD" w:rsidP="00BC5A92">
      <w:pPr>
        <w:spacing w:after="0"/>
        <w:jc w:val="both"/>
        <w:rPr>
          <w:lang w:val="en-GB"/>
        </w:rPr>
      </w:pPr>
      <w:r>
        <w:rPr>
          <w:lang w:val="en-GB"/>
        </w:rPr>
        <w:t>The SLOs (Service Level Objectives) for the new COSP will be to match</w:t>
      </w:r>
      <w:r w:rsidR="00C46C53">
        <w:rPr>
          <w:lang w:val="en-GB"/>
        </w:rPr>
        <w:t xml:space="preserve"> at a minimum</w:t>
      </w:r>
      <w:r>
        <w:rPr>
          <w:lang w:val="en-GB"/>
        </w:rPr>
        <w:t xml:space="preserve"> the SLAs for the current OTC </w:t>
      </w:r>
      <w:r w:rsidR="00F07F21">
        <w:rPr>
          <w:lang w:val="en-GB"/>
        </w:rPr>
        <w:t>ISIN Service</w:t>
      </w:r>
      <w:r>
        <w:rPr>
          <w:lang w:val="en-GB"/>
        </w:rPr>
        <w:t xml:space="preserve">. </w:t>
      </w:r>
    </w:p>
    <w:p w14:paraId="7F3E2A65" w14:textId="77777777" w:rsidR="007625FD" w:rsidRDefault="007625FD" w:rsidP="00BC5A92">
      <w:pPr>
        <w:spacing w:after="0"/>
        <w:jc w:val="both"/>
        <w:rPr>
          <w:lang w:val="en-GB"/>
        </w:rPr>
      </w:pPr>
    </w:p>
    <w:p w14:paraId="0EED5144" w14:textId="77777777" w:rsidR="007625FD" w:rsidRDefault="007625FD" w:rsidP="00BC5A92">
      <w:pPr>
        <w:spacing w:after="0"/>
        <w:jc w:val="both"/>
        <w:rPr>
          <w:lang w:val="en-GB"/>
        </w:rPr>
      </w:pPr>
      <w:r>
        <w:rPr>
          <w:lang w:val="en-GB"/>
        </w:rPr>
        <w:t xml:space="preserve">The specific SLAs relating to, for example, availability and incident management for the COSP have yet to be fully determined given that the implementation of the service is in progress and will be communicated via the DSB closer to the launch of the service once they have been incorporated into the service level policies. </w:t>
      </w:r>
    </w:p>
    <w:p w14:paraId="415358D2" w14:textId="77777777" w:rsidR="007625FD" w:rsidRPr="000802BE" w:rsidRDefault="007625FD" w:rsidP="007625FD"/>
    <w:bookmarkStart w:id="114" w:name="_Toc86680483"/>
    <w:p w14:paraId="35835631" w14:textId="77777777" w:rsidR="007625FD" w:rsidRPr="005A395D" w:rsidRDefault="007625FD" w:rsidP="007625FD">
      <w:pPr>
        <w:pStyle w:val="Heading2"/>
        <w:spacing w:before="0" w:line="276" w:lineRule="auto"/>
      </w:pPr>
      <w:r>
        <w:rPr>
          <w:noProof/>
          <w:lang w:eastAsia="en-GB"/>
        </w:rPr>
        <mc:AlternateContent>
          <mc:Choice Requires="wps">
            <w:drawing>
              <wp:anchor distT="45720" distB="45720" distL="114300" distR="114300" simplePos="0" relativeHeight="251658246" behindDoc="0" locked="0" layoutInCell="1" allowOverlap="1" wp14:anchorId="25363C95" wp14:editId="2CBEF0AE">
                <wp:simplePos x="0" y="0"/>
                <wp:positionH relativeFrom="margin">
                  <wp:posOffset>24765</wp:posOffset>
                </wp:positionH>
                <wp:positionV relativeFrom="paragraph">
                  <wp:posOffset>355030</wp:posOffset>
                </wp:positionV>
                <wp:extent cx="5716905" cy="1404620"/>
                <wp:effectExtent l="0" t="0" r="17145" b="152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rgbClr val="FFFFFF"/>
                        </a:solidFill>
                        <a:ln w="9525">
                          <a:solidFill>
                            <a:srgbClr val="04AEB9"/>
                          </a:solidFill>
                          <a:miter lim="800000"/>
                          <a:headEnd/>
                          <a:tailEnd/>
                        </a:ln>
                      </wps:spPr>
                      <wps:txbx>
                        <w:txbxContent>
                          <w:p w14:paraId="176D7E15" w14:textId="77777777" w:rsidR="007625FD" w:rsidRDefault="007625FD" w:rsidP="007625FD">
                            <w:pPr>
                              <w:pStyle w:val="paragraph"/>
                              <w:spacing w:before="240" w:beforeAutospacing="0" w:after="120" w:afterAutospacing="0" w:line="276" w:lineRule="auto"/>
                              <w:textAlignment w:val="baseline"/>
                              <w:rPr>
                                <w:rStyle w:val="normaltextrun"/>
                                <w:rFonts w:asciiTheme="minorHAnsi" w:hAnsiTheme="minorHAnsi" w:cstheme="minorHAnsi"/>
                                <w:b/>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5E8AB642" w14:textId="4876D0C2" w:rsidR="007625FD" w:rsidRDefault="007625FD" w:rsidP="00BC5A92">
                            <w:pPr>
                              <w:pStyle w:val="paragraph"/>
                              <w:spacing w:before="240" w:beforeAutospacing="0" w:after="120" w:afterAutospacing="0" w:line="276" w:lineRule="auto"/>
                              <w:jc w:val="both"/>
                              <w:textAlignment w:val="baseline"/>
                              <w:rPr>
                                <w:rStyle w:val="normaltextrun"/>
                                <w:rFonts w:asciiTheme="minorHAnsi" w:hAnsiTheme="minorHAnsi" w:cstheme="minorHAnsi"/>
                                <w:color w:val="000000"/>
                                <w:sz w:val="22"/>
                                <w:szCs w:val="22"/>
                              </w:rPr>
                            </w:pPr>
                            <w:r w:rsidRPr="00662B6B">
                              <w:rPr>
                                <w:rStyle w:val="normaltextrun"/>
                                <w:rFonts w:asciiTheme="minorHAnsi" w:hAnsiTheme="minorHAnsi" w:cstheme="minorHAnsi"/>
                                <w:color w:val="000000"/>
                                <w:sz w:val="22"/>
                                <w:szCs w:val="22"/>
                              </w:rPr>
                              <w:t xml:space="preserve">As a result of </w:t>
                            </w:r>
                            <w:r w:rsidRPr="00795A38">
                              <w:rPr>
                                <w:rStyle w:val="normaltextrun"/>
                                <w:rFonts w:asciiTheme="minorHAnsi" w:hAnsiTheme="minorHAnsi" w:cstheme="minorHAnsi"/>
                                <w:color w:val="000000"/>
                                <w:sz w:val="22"/>
                                <w:szCs w:val="22"/>
                              </w:rPr>
                              <w:t xml:space="preserve">prior </w:t>
                            </w:r>
                            <w:r w:rsidRPr="00662B6B">
                              <w:rPr>
                                <w:rStyle w:val="normaltextrun"/>
                                <w:rFonts w:asciiTheme="minorHAnsi" w:hAnsiTheme="minorHAnsi" w:cstheme="minorHAnsi"/>
                                <w:color w:val="000000"/>
                                <w:sz w:val="22"/>
                                <w:szCs w:val="22"/>
                              </w:rPr>
                              <w:t xml:space="preserve">industry consultation, </w:t>
                            </w:r>
                            <w:r>
                              <w:rPr>
                                <w:rStyle w:val="normaltextrun"/>
                                <w:rFonts w:asciiTheme="minorHAnsi" w:hAnsiTheme="minorHAnsi" w:cstheme="minorHAnsi"/>
                                <w:color w:val="000000"/>
                                <w:sz w:val="22"/>
                                <w:szCs w:val="22"/>
                              </w:rPr>
                              <w:t xml:space="preserve">the </w:t>
                            </w:r>
                            <w:r w:rsidRPr="006F6280">
                              <w:rPr>
                                <w:rStyle w:val="normaltextrun"/>
                                <w:rFonts w:asciiTheme="minorHAnsi" w:hAnsiTheme="minorHAnsi" w:cstheme="minorHAnsi"/>
                                <w:color w:val="000000"/>
                                <w:sz w:val="22"/>
                                <w:szCs w:val="22"/>
                              </w:rPr>
                              <w:t xml:space="preserve">DSB Disputes and Resolution process </w:t>
                            </w:r>
                            <w:r>
                              <w:rPr>
                                <w:rStyle w:val="normaltextrun"/>
                                <w:rFonts w:asciiTheme="minorHAnsi" w:hAnsiTheme="minorHAnsi" w:cstheme="minorHAnsi"/>
                                <w:color w:val="000000"/>
                                <w:sz w:val="22"/>
                                <w:szCs w:val="22"/>
                              </w:rPr>
                              <w:t>for the existing OTC ISIN Service is arbitration (</w:t>
                            </w:r>
                            <w:r w:rsidRPr="006F6280">
                              <w:rPr>
                                <w:rStyle w:val="normaltextrun"/>
                                <w:rFonts w:asciiTheme="minorHAnsi" w:hAnsiTheme="minorHAnsi" w:cstheme="minorHAnsi"/>
                                <w:color w:val="000000"/>
                                <w:sz w:val="22"/>
                                <w:szCs w:val="22"/>
                              </w:rPr>
                              <w:t xml:space="preserve">referring disputes to the London Court of International Arbitration (LCIA) and incorporating a </w:t>
                            </w:r>
                            <w:proofErr w:type="gramStart"/>
                            <w:r w:rsidRPr="006F6280">
                              <w:rPr>
                                <w:rStyle w:val="normaltextrun"/>
                                <w:rFonts w:asciiTheme="minorHAnsi" w:hAnsiTheme="minorHAnsi" w:cstheme="minorHAnsi"/>
                                <w:color w:val="000000"/>
                                <w:sz w:val="22"/>
                                <w:szCs w:val="22"/>
                              </w:rPr>
                              <w:t>small claims</w:t>
                            </w:r>
                            <w:proofErr w:type="gramEnd"/>
                            <w:r w:rsidRPr="006F6280">
                              <w:rPr>
                                <w:rStyle w:val="normaltextrun"/>
                                <w:rFonts w:asciiTheme="minorHAnsi" w:hAnsiTheme="minorHAnsi" w:cstheme="minorHAnsi"/>
                                <w:color w:val="000000"/>
                                <w:sz w:val="22"/>
                                <w:szCs w:val="22"/>
                              </w:rPr>
                              <w:t xml:space="preserve"> procedure</w:t>
                            </w:r>
                            <w:r>
                              <w:rPr>
                                <w:rStyle w:val="normaltextrun"/>
                                <w:rFonts w:asciiTheme="minorHAnsi" w:hAnsiTheme="minorHAnsi" w:cstheme="minorHAnsi"/>
                                <w:color w:val="000000"/>
                                <w:sz w:val="22"/>
                                <w:szCs w:val="22"/>
                              </w:rPr>
                              <w:t xml:space="preserve">). For alignment in how the Services are governed, the DSB </w:t>
                            </w:r>
                            <w:r w:rsidR="00AB6406">
                              <w:rPr>
                                <w:rStyle w:val="normaltextrun"/>
                                <w:rFonts w:asciiTheme="minorHAnsi" w:hAnsiTheme="minorHAnsi" w:cstheme="minorHAnsi"/>
                                <w:color w:val="000000"/>
                                <w:sz w:val="22"/>
                                <w:szCs w:val="22"/>
                              </w:rPr>
                              <w:t xml:space="preserve">proposes to </w:t>
                            </w:r>
                            <w:r>
                              <w:rPr>
                                <w:rStyle w:val="normaltextrun"/>
                                <w:rFonts w:asciiTheme="minorHAnsi" w:hAnsiTheme="minorHAnsi" w:cstheme="minorHAnsi"/>
                                <w:color w:val="000000"/>
                                <w:sz w:val="22"/>
                                <w:szCs w:val="22"/>
                              </w:rPr>
                              <w:t>apply the same arbitration approach to the UPI Service upon its launch.</w:t>
                            </w:r>
                          </w:p>
                          <w:p w14:paraId="0A7EE406" w14:textId="77777777" w:rsidR="007625FD" w:rsidRDefault="007625FD" w:rsidP="00BC5A92">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10a</w:t>
                            </w:r>
                            <w:r w:rsidRPr="0076032B">
                              <w:rPr>
                                <w:rStyle w:val="normaltextrun"/>
                                <w:rFonts w:cstheme="minorHAnsi"/>
                                <w:b/>
                                <w:bCs/>
                                <w:color w:val="000000"/>
                              </w:rPr>
                              <w:t xml:space="preserve">: </w:t>
                            </w:r>
                            <w:r>
                              <w:rPr>
                                <w:rStyle w:val="normaltextrun"/>
                                <w:rFonts w:cstheme="minorHAnsi"/>
                                <w:b/>
                                <w:bCs/>
                                <w:i/>
                                <w:iCs/>
                                <w:color w:val="000000"/>
                              </w:rPr>
                              <w:t>Do you concur that the Dispute Resolution Mechanism should be extended to the UPI Service?</w:t>
                            </w:r>
                          </w:p>
                          <w:p w14:paraId="40FE7479" w14:textId="77777777" w:rsidR="007625FD" w:rsidRPr="00471A99" w:rsidRDefault="007625FD" w:rsidP="00BC5A92">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10b</w:t>
                            </w:r>
                            <w:r w:rsidRPr="0076032B">
                              <w:rPr>
                                <w:rStyle w:val="normaltextrun"/>
                                <w:rFonts w:cstheme="minorHAnsi"/>
                                <w:b/>
                                <w:bCs/>
                                <w:color w:val="000000"/>
                              </w:rPr>
                              <w:t xml:space="preserve">: </w:t>
                            </w:r>
                            <w:r w:rsidRPr="000B0101">
                              <w:rPr>
                                <w:rStyle w:val="normaltextrun"/>
                                <w:rFonts w:cstheme="minorHAnsi"/>
                                <w:b/>
                                <w:i/>
                                <w:color w:val="000000"/>
                              </w:rPr>
                              <w:t>If not, what specific alternate approach do you recommend? Please provide a clear and objective rationale for each alternate approach you recommend.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363C95" id="_x0000_s1036" type="#_x0000_t202" style="position:absolute;left:0;text-align:left;margin-left:1.95pt;margin-top:27.95pt;width:450.15pt;height:110.6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" strokecolor="#04aeb9">
                <v:textbox style="mso-fit-shape-to-text:t">
                  <w:txbxContent>
                    <w:p w14:paraId="176D7E15" w14:textId="77777777" w:rsidR="007625FD" w:rsidRDefault="007625FD" w:rsidP="007625FD">
                      <w:pPr>
                        <w:pStyle w:val="paragraph"/>
                        <w:spacing w:before="240" w:beforeAutospacing="0" w:after="120" w:afterAutospacing="0" w:line="276" w:lineRule="auto"/>
                        <w:textAlignment w:val="baseline"/>
                        <w:rPr>
                          <w:rStyle w:val="normaltextrun"/>
                          <w:rFonts w:asciiTheme="minorHAnsi" w:hAnsiTheme="minorHAnsi" w:cstheme="minorHAnsi"/>
                          <w:b/>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5E8AB642" w14:textId="4876D0C2" w:rsidR="007625FD" w:rsidRDefault="007625FD" w:rsidP="00BC5A92">
                      <w:pPr>
                        <w:pStyle w:val="paragraph"/>
                        <w:spacing w:before="240" w:beforeAutospacing="0" w:after="120" w:afterAutospacing="0" w:line="276" w:lineRule="auto"/>
                        <w:jc w:val="both"/>
                        <w:textAlignment w:val="baseline"/>
                        <w:rPr>
                          <w:rStyle w:val="normaltextrun"/>
                          <w:rFonts w:asciiTheme="minorHAnsi" w:hAnsiTheme="minorHAnsi" w:cstheme="minorHAnsi"/>
                          <w:color w:val="000000"/>
                          <w:sz w:val="22"/>
                          <w:szCs w:val="22"/>
                        </w:rPr>
                      </w:pPr>
                      <w:r w:rsidRPr="00662B6B">
                        <w:rPr>
                          <w:rStyle w:val="normaltextrun"/>
                          <w:rFonts w:asciiTheme="minorHAnsi" w:hAnsiTheme="minorHAnsi" w:cstheme="minorHAnsi"/>
                          <w:color w:val="000000"/>
                          <w:sz w:val="22"/>
                          <w:szCs w:val="22"/>
                        </w:rPr>
                        <w:t xml:space="preserve">As a result of </w:t>
                      </w:r>
                      <w:r w:rsidRPr="00795A38">
                        <w:rPr>
                          <w:rStyle w:val="normaltextrun"/>
                          <w:rFonts w:asciiTheme="minorHAnsi" w:hAnsiTheme="minorHAnsi" w:cstheme="minorHAnsi"/>
                          <w:color w:val="000000"/>
                          <w:sz w:val="22"/>
                          <w:szCs w:val="22"/>
                        </w:rPr>
                        <w:t xml:space="preserve">prior </w:t>
                      </w:r>
                      <w:r w:rsidRPr="00662B6B">
                        <w:rPr>
                          <w:rStyle w:val="normaltextrun"/>
                          <w:rFonts w:asciiTheme="minorHAnsi" w:hAnsiTheme="minorHAnsi" w:cstheme="minorHAnsi"/>
                          <w:color w:val="000000"/>
                          <w:sz w:val="22"/>
                          <w:szCs w:val="22"/>
                        </w:rPr>
                        <w:t xml:space="preserve">industry consultation, </w:t>
                      </w:r>
                      <w:r>
                        <w:rPr>
                          <w:rStyle w:val="normaltextrun"/>
                          <w:rFonts w:asciiTheme="minorHAnsi" w:hAnsiTheme="minorHAnsi" w:cstheme="minorHAnsi"/>
                          <w:color w:val="000000"/>
                          <w:sz w:val="22"/>
                          <w:szCs w:val="22"/>
                        </w:rPr>
                        <w:t xml:space="preserve">the </w:t>
                      </w:r>
                      <w:r w:rsidRPr="006F6280">
                        <w:rPr>
                          <w:rStyle w:val="normaltextrun"/>
                          <w:rFonts w:asciiTheme="minorHAnsi" w:hAnsiTheme="minorHAnsi" w:cstheme="minorHAnsi"/>
                          <w:color w:val="000000"/>
                          <w:sz w:val="22"/>
                          <w:szCs w:val="22"/>
                        </w:rPr>
                        <w:t xml:space="preserve">DSB Disputes and Resolution process </w:t>
                      </w:r>
                      <w:r>
                        <w:rPr>
                          <w:rStyle w:val="normaltextrun"/>
                          <w:rFonts w:asciiTheme="minorHAnsi" w:hAnsiTheme="minorHAnsi" w:cstheme="minorHAnsi"/>
                          <w:color w:val="000000"/>
                          <w:sz w:val="22"/>
                          <w:szCs w:val="22"/>
                        </w:rPr>
                        <w:t>for the existing OTC ISIN Service is arbitration (</w:t>
                      </w:r>
                      <w:r w:rsidRPr="006F6280">
                        <w:rPr>
                          <w:rStyle w:val="normaltextrun"/>
                          <w:rFonts w:asciiTheme="minorHAnsi" w:hAnsiTheme="minorHAnsi" w:cstheme="minorHAnsi"/>
                          <w:color w:val="000000"/>
                          <w:sz w:val="22"/>
                          <w:szCs w:val="22"/>
                        </w:rPr>
                        <w:t xml:space="preserve">referring disputes to the London Court of International Arbitration (LCIA) and incorporating a </w:t>
                      </w:r>
                      <w:proofErr w:type="gramStart"/>
                      <w:r w:rsidRPr="006F6280">
                        <w:rPr>
                          <w:rStyle w:val="normaltextrun"/>
                          <w:rFonts w:asciiTheme="minorHAnsi" w:hAnsiTheme="minorHAnsi" w:cstheme="minorHAnsi"/>
                          <w:color w:val="000000"/>
                          <w:sz w:val="22"/>
                          <w:szCs w:val="22"/>
                        </w:rPr>
                        <w:t>small claims</w:t>
                      </w:r>
                      <w:proofErr w:type="gramEnd"/>
                      <w:r w:rsidRPr="006F6280">
                        <w:rPr>
                          <w:rStyle w:val="normaltextrun"/>
                          <w:rFonts w:asciiTheme="minorHAnsi" w:hAnsiTheme="minorHAnsi" w:cstheme="minorHAnsi"/>
                          <w:color w:val="000000"/>
                          <w:sz w:val="22"/>
                          <w:szCs w:val="22"/>
                        </w:rPr>
                        <w:t xml:space="preserve"> procedure</w:t>
                      </w:r>
                      <w:r>
                        <w:rPr>
                          <w:rStyle w:val="normaltextrun"/>
                          <w:rFonts w:asciiTheme="minorHAnsi" w:hAnsiTheme="minorHAnsi" w:cstheme="minorHAnsi"/>
                          <w:color w:val="000000"/>
                          <w:sz w:val="22"/>
                          <w:szCs w:val="22"/>
                        </w:rPr>
                        <w:t xml:space="preserve">). For alignment in how the Services are governed, the DSB </w:t>
                      </w:r>
                      <w:r w:rsidR="00AB6406">
                        <w:rPr>
                          <w:rStyle w:val="normaltextrun"/>
                          <w:rFonts w:asciiTheme="minorHAnsi" w:hAnsiTheme="minorHAnsi" w:cstheme="minorHAnsi"/>
                          <w:color w:val="000000"/>
                          <w:sz w:val="22"/>
                          <w:szCs w:val="22"/>
                        </w:rPr>
                        <w:t xml:space="preserve">proposes to </w:t>
                      </w:r>
                      <w:r>
                        <w:rPr>
                          <w:rStyle w:val="normaltextrun"/>
                          <w:rFonts w:asciiTheme="minorHAnsi" w:hAnsiTheme="minorHAnsi" w:cstheme="minorHAnsi"/>
                          <w:color w:val="000000"/>
                          <w:sz w:val="22"/>
                          <w:szCs w:val="22"/>
                        </w:rPr>
                        <w:t>apply the same arbitration approach to the UPI Service upon its launch.</w:t>
                      </w:r>
                    </w:p>
                    <w:p w14:paraId="0A7EE406" w14:textId="77777777" w:rsidR="007625FD" w:rsidRDefault="007625FD" w:rsidP="00BC5A92">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10a</w:t>
                      </w:r>
                      <w:r w:rsidRPr="0076032B">
                        <w:rPr>
                          <w:rStyle w:val="normaltextrun"/>
                          <w:rFonts w:cstheme="minorHAnsi"/>
                          <w:b/>
                          <w:bCs/>
                          <w:color w:val="000000"/>
                        </w:rPr>
                        <w:t xml:space="preserve">: </w:t>
                      </w:r>
                      <w:r>
                        <w:rPr>
                          <w:rStyle w:val="normaltextrun"/>
                          <w:rFonts w:cstheme="minorHAnsi"/>
                          <w:b/>
                          <w:bCs/>
                          <w:i/>
                          <w:iCs/>
                          <w:color w:val="000000"/>
                        </w:rPr>
                        <w:t>Do you concur that the Dispute Resolution Mechanism should be extended to the UPI Service?</w:t>
                      </w:r>
                    </w:p>
                    <w:p w14:paraId="40FE7479" w14:textId="77777777" w:rsidR="007625FD" w:rsidRPr="00471A99" w:rsidRDefault="007625FD" w:rsidP="00BC5A92">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10b</w:t>
                      </w:r>
                      <w:r w:rsidRPr="0076032B">
                        <w:rPr>
                          <w:rStyle w:val="normaltextrun"/>
                          <w:rFonts w:cstheme="minorHAnsi"/>
                          <w:b/>
                          <w:bCs/>
                          <w:color w:val="000000"/>
                        </w:rPr>
                        <w:t xml:space="preserve">: </w:t>
                      </w:r>
                      <w:r w:rsidRPr="000B0101">
                        <w:rPr>
                          <w:rStyle w:val="normaltextrun"/>
                          <w:rFonts w:cstheme="minorHAnsi"/>
                          <w:b/>
                          <w:i/>
                          <w:color w:val="000000"/>
                        </w:rPr>
                        <w:t>If not, what specific alternate approach do you recommend? Please provide a clear and objective rationale for each alternate approach you recommend.</w:t>
                      </w:r>
                    </w:p>
                  </w:txbxContent>
                </v:textbox>
                <w10:wrap type="square" anchorx="margin"/>
              </v:shape>
            </w:pict>
          </mc:Fallback>
        </mc:AlternateContent>
      </w:r>
      <w:r>
        <w:t>Q10 – DSB Governance Policy Dispute Resolution Mechanism</w:t>
      </w:r>
      <w:bookmarkEnd w:id="114"/>
    </w:p>
    <w:p w14:paraId="0A8E70D8" w14:textId="77777777" w:rsidR="007625FD" w:rsidRDefault="007625FD" w:rsidP="007625FD">
      <w:pPr>
        <w:jc w:val="both"/>
        <w:rPr>
          <w:b/>
          <w:bCs/>
          <w:u w:val="single"/>
        </w:rPr>
      </w:pPr>
    </w:p>
    <w:p w14:paraId="158BB62F" w14:textId="77777777" w:rsidR="007625FD" w:rsidRDefault="007625FD" w:rsidP="007625FD">
      <w:pPr>
        <w:jc w:val="both"/>
        <w:rPr>
          <w:b/>
          <w:bCs/>
          <w:u w:val="single"/>
        </w:rPr>
      </w:pPr>
      <w:r>
        <w:rPr>
          <w:b/>
          <w:bCs/>
          <w:u w:val="single"/>
        </w:rPr>
        <w:t>Supporting Information:</w:t>
      </w:r>
    </w:p>
    <w:p w14:paraId="2BD8E6E4" w14:textId="31F88152" w:rsidR="007625FD" w:rsidRDefault="007625FD" w:rsidP="007625FD">
      <w:pPr>
        <w:jc w:val="both"/>
      </w:pPr>
      <w:r>
        <w:t>T</w:t>
      </w:r>
      <w:r w:rsidRPr="00E800D5">
        <w:t xml:space="preserve">he DSB’s role as an industry utility means that it needs to ensure the principle of Equal Treatment and that it does not give beneficial terms to individual users unless these terms can be imposed across the </w:t>
      </w:r>
      <w:r w:rsidRPr="00E800D5">
        <w:lastRenderedPageBreak/>
        <w:t xml:space="preserve">user base without placing a risk on the service. </w:t>
      </w:r>
      <w:r>
        <w:t>Following the 2020 DSB Annual Industry Consultation</w:t>
      </w:r>
      <w:r>
        <w:rPr>
          <w:rStyle w:val="FootnoteReference"/>
        </w:rPr>
        <w:footnoteReference w:id="54"/>
      </w:r>
      <w:r>
        <w:t>, the DSB updated the dispute resolution mechanism in the Governance Policy to arbitration</w:t>
      </w:r>
      <w:r w:rsidRPr="00756E7C">
        <w:t>, referring disputes to the London Court of International Arbitration (LCIA) and incorporating a small claims procedure</w:t>
      </w:r>
      <w:r>
        <w:t>.</w:t>
      </w:r>
      <w:r w:rsidR="009711FC">
        <w:t xml:space="preserve"> </w:t>
      </w:r>
      <w:r w:rsidR="003E1FE1">
        <w:t>An</w:t>
      </w:r>
      <w:r w:rsidR="0028697B">
        <w:t xml:space="preserve"> arbitration</w:t>
      </w:r>
      <w:r w:rsidR="009711FC">
        <w:t xml:space="preserve"> </w:t>
      </w:r>
      <w:r w:rsidR="003E1FE1">
        <w:t xml:space="preserve">process </w:t>
      </w:r>
      <w:r w:rsidR="009711FC">
        <w:t xml:space="preserve">removes </w:t>
      </w:r>
      <w:r w:rsidR="00C77834">
        <w:t>the</w:t>
      </w:r>
      <w:r w:rsidR="009711FC">
        <w:t xml:space="preserve"> </w:t>
      </w:r>
      <w:r w:rsidR="00B25598">
        <w:t xml:space="preserve">potential </w:t>
      </w:r>
      <w:r w:rsidR="0028697B">
        <w:t xml:space="preserve">application of </w:t>
      </w:r>
      <w:r w:rsidR="00C77834">
        <w:t>preferential treatment</w:t>
      </w:r>
      <w:r w:rsidR="00C110A1">
        <w:t xml:space="preserve"> </w:t>
      </w:r>
      <w:r w:rsidR="00DD03AC">
        <w:t>resulting from</w:t>
      </w:r>
      <w:r w:rsidR="00C110A1">
        <w:t xml:space="preserve"> </w:t>
      </w:r>
      <w:r w:rsidR="003E1FE1">
        <w:t>negotiatio</w:t>
      </w:r>
      <w:r w:rsidR="00DD03AC">
        <w:t>n,</w:t>
      </w:r>
      <w:r w:rsidR="00C77834">
        <w:t xml:space="preserve"> </w:t>
      </w:r>
      <w:r w:rsidR="00B25598">
        <w:t xml:space="preserve">as </w:t>
      </w:r>
      <w:r w:rsidR="005D54DF">
        <w:t>the outcome</w:t>
      </w:r>
      <w:r w:rsidR="00B25598">
        <w:t xml:space="preserve"> will be made by the arbitrator</w:t>
      </w:r>
      <w:r w:rsidR="003E1FE1">
        <w:t xml:space="preserve"> as an independent party</w:t>
      </w:r>
      <w:r w:rsidR="00B25598">
        <w:t>.</w:t>
      </w:r>
    </w:p>
    <w:p w14:paraId="3B1E8D0C" w14:textId="77777777" w:rsidR="007625FD" w:rsidRDefault="007625FD" w:rsidP="007625FD">
      <w:pPr>
        <w:jc w:val="both"/>
      </w:pPr>
      <w:r>
        <w:t xml:space="preserve">A small claims procedure is aimed to encourage an efficient and cost-effective process for dispute resolution. Examples of the features that can be included are having only a single arbitrator to hear the case and the default position to be for the arbitrator to </w:t>
      </w:r>
      <w:proofErr w:type="gramStart"/>
      <w:r>
        <w:t>make a decision</w:t>
      </w:r>
      <w:proofErr w:type="gramEnd"/>
      <w:r>
        <w:t xml:space="preserve"> by reviewing the evidence on paper with no hearing required unless the arbitrator considers it necessary, amongst others. </w:t>
      </w:r>
    </w:p>
    <w:p w14:paraId="1E15E57F" w14:textId="77777777" w:rsidR="007625FD" w:rsidRPr="00C208E5" w:rsidRDefault="007625FD" w:rsidP="007625FD">
      <w:pPr>
        <w:jc w:val="both"/>
      </w:pPr>
      <w:r>
        <w:t>The DSB also included a variation to the arbitration default confidentiality requirements to ensure adequate transparency can be provided with respect to dispute resolution handling. With respect to cost of the arbitration, costs shall be shared equally between the parties.</w:t>
      </w:r>
    </w:p>
    <w:p w14:paraId="4911EE56" w14:textId="2A0AE021" w:rsidR="007625FD" w:rsidRDefault="007625FD" w:rsidP="007625FD">
      <w:pPr>
        <w:jc w:val="both"/>
      </w:pPr>
      <w:r>
        <w:t>As part of the industry consultation,</w:t>
      </w:r>
      <w:r w:rsidRPr="00B062C6">
        <w:t xml:space="preserve"> </w:t>
      </w:r>
      <w:r>
        <w:t>the DSB considered two well-known and respected arbitral institutions - London Court of International Arbitration</w:t>
      </w:r>
      <w:r>
        <w:rPr>
          <w:rStyle w:val="FootnoteReference"/>
        </w:rPr>
        <w:footnoteReference w:id="55"/>
      </w:r>
      <w:r>
        <w:t xml:space="preserve"> (LCIA) and </w:t>
      </w:r>
      <w:r w:rsidRPr="00B062C6">
        <w:t>the International Chamber of Commerce</w:t>
      </w:r>
      <w:r>
        <w:rPr>
          <w:rStyle w:val="FootnoteReference"/>
        </w:rPr>
        <w:footnoteReference w:id="56"/>
      </w:r>
      <w:r w:rsidRPr="00B062C6">
        <w:t xml:space="preserve"> </w:t>
      </w:r>
      <w:r>
        <w:t xml:space="preserve">(ICC). </w:t>
      </w:r>
      <w:r w:rsidR="006C30C7">
        <w:t>To</w:t>
      </w:r>
      <w:r>
        <w:t xml:space="preserve"> ensure appropriate governance of the process, the DSB discounted the use of ad-hoc arbitration which does not require an arbitration to proceed under the auspices of an arbitral institution, such as the LCIA or ICC. Of the two arbitral institutions, LCIA and ICC, comparison of key aspects such as flexibility, speed, small claims procedure and costs, indicated that the LCIA as the most cost effective and efficient process for the likely monetary value of cases.</w:t>
      </w:r>
    </w:p>
    <w:p w14:paraId="4FF131BB" w14:textId="77777777" w:rsidR="007625FD" w:rsidRDefault="007625FD" w:rsidP="007625FD">
      <w:pPr>
        <w:jc w:val="both"/>
        <w:rPr>
          <w:b/>
          <w:bCs/>
          <w:u w:val="single"/>
        </w:rPr>
      </w:pPr>
      <w:r>
        <w:rPr>
          <w:b/>
          <w:bCs/>
          <w:u w:val="single"/>
        </w:rPr>
        <w:t>DSB Proposal</w:t>
      </w:r>
      <w:r w:rsidRPr="00623841">
        <w:rPr>
          <w:b/>
          <w:bCs/>
          <w:u w:val="single"/>
        </w:rPr>
        <w:t>:</w:t>
      </w:r>
    </w:p>
    <w:p w14:paraId="730DC0A0" w14:textId="38B6FBDE" w:rsidR="007625FD" w:rsidRDefault="009711FC" w:rsidP="007625FD">
      <w:pPr>
        <w:rPr>
          <w:lang w:val="en-GB"/>
        </w:rPr>
      </w:pPr>
      <w:r>
        <w:rPr>
          <w:lang w:val="en-GB"/>
        </w:rPr>
        <w:t xml:space="preserve">The existing </w:t>
      </w:r>
      <w:r>
        <w:t>dispute resolution mechanism</w:t>
      </w:r>
      <w:r>
        <w:rPr>
          <w:lang w:val="en-GB"/>
        </w:rPr>
        <w:t xml:space="preserve"> </w:t>
      </w:r>
      <w:r w:rsidR="007625FD">
        <w:rPr>
          <w:lang w:val="en-GB"/>
        </w:rPr>
        <w:t xml:space="preserve">will be extended to include the UPI </w:t>
      </w:r>
      <w:r>
        <w:rPr>
          <w:lang w:val="en-GB"/>
        </w:rPr>
        <w:t>S</w:t>
      </w:r>
      <w:r w:rsidR="007625FD">
        <w:rPr>
          <w:lang w:val="en-GB"/>
        </w:rPr>
        <w:t xml:space="preserve">ervice as well as the OTC ISIN </w:t>
      </w:r>
      <w:r>
        <w:rPr>
          <w:lang w:val="en-GB"/>
        </w:rPr>
        <w:t>S</w:t>
      </w:r>
      <w:r w:rsidR="007625FD">
        <w:rPr>
          <w:lang w:val="en-GB"/>
        </w:rPr>
        <w:t xml:space="preserve">ervice. </w:t>
      </w:r>
    </w:p>
    <w:p w14:paraId="71A3B754" w14:textId="77777777" w:rsidR="007625FD" w:rsidRDefault="007625FD" w:rsidP="007625FD">
      <w:pPr>
        <w:rPr>
          <w:lang w:val="en-GB"/>
        </w:rPr>
      </w:pPr>
    </w:p>
    <w:bookmarkStart w:id="115" w:name="_Toc83040844"/>
    <w:bookmarkStart w:id="116" w:name="_Toc83051176"/>
    <w:bookmarkStart w:id="117" w:name="_Toc83102151"/>
    <w:bookmarkStart w:id="118" w:name="_Toc83383538"/>
    <w:bookmarkStart w:id="119" w:name="_Toc83383990"/>
    <w:bookmarkStart w:id="120" w:name="_Toc83384052"/>
    <w:bookmarkStart w:id="121" w:name="_Toc83384509"/>
    <w:bookmarkStart w:id="122" w:name="_Ref83800846"/>
    <w:bookmarkStart w:id="123" w:name="_Ref83839371"/>
    <w:bookmarkStart w:id="124" w:name="_Toc86680484"/>
    <w:bookmarkEnd w:id="115"/>
    <w:bookmarkEnd w:id="116"/>
    <w:bookmarkEnd w:id="117"/>
    <w:bookmarkEnd w:id="118"/>
    <w:bookmarkEnd w:id="119"/>
    <w:bookmarkEnd w:id="120"/>
    <w:bookmarkEnd w:id="121"/>
    <w:p w14:paraId="30BCFF70" w14:textId="77777777" w:rsidR="007625FD" w:rsidRPr="005A395D" w:rsidRDefault="007625FD" w:rsidP="007625FD">
      <w:pPr>
        <w:pStyle w:val="Heading2"/>
        <w:spacing w:before="0" w:line="276" w:lineRule="auto"/>
      </w:pPr>
      <w:r>
        <w:rPr>
          <w:noProof/>
          <w:lang w:eastAsia="en-GB"/>
        </w:rPr>
        <w:lastRenderedPageBreak/>
        <mc:AlternateContent>
          <mc:Choice Requires="wps">
            <w:drawing>
              <wp:anchor distT="45720" distB="45720" distL="114300" distR="114300" simplePos="0" relativeHeight="251658247" behindDoc="0" locked="0" layoutInCell="1" allowOverlap="1" wp14:anchorId="342400CE" wp14:editId="643F9E26">
                <wp:simplePos x="0" y="0"/>
                <wp:positionH relativeFrom="margin">
                  <wp:posOffset>-98590</wp:posOffset>
                </wp:positionH>
                <wp:positionV relativeFrom="paragraph">
                  <wp:posOffset>335126</wp:posOffset>
                </wp:positionV>
                <wp:extent cx="5716905" cy="1404620"/>
                <wp:effectExtent l="0" t="0" r="17145" b="152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rgbClr val="FFFFFF"/>
                        </a:solidFill>
                        <a:ln w="9525">
                          <a:solidFill>
                            <a:srgbClr val="04AEB9"/>
                          </a:solidFill>
                          <a:miter lim="800000"/>
                          <a:headEnd/>
                          <a:tailEnd/>
                        </a:ln>
                      </wps:spPr>
                      <wps:txbx>
                        <w:txbxContent>
                          <w:p w14:paraId="7FED51D4"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48BF6912" w14:textId="77777777" w:rsidR="00A07860" w:rsidRDefault="00A07860" w:rsidP="007625FD">
                            <w:pPr>
                              <w:jc w:val="both"/>
                              <w:rPr>
                                <w:rFonts w:cstheme="minorHAnsi"/>
                                <w:lang w:val="en-GB"/>
                              </w:rPr>
                            </w:pPr>
                            <w:r>
                              <w:rPr>
                                <w:rFonts w:cstheme="minorHAnsi"/>
                                <w:lang w:val="en-GB"/>
                              </w:rPr>
                              <w:t xml:space="preserve">Based on the existing DSB fee model structure, the variables to calculate the user fees comprise the Estimated Total UPI Cost </w:t>
                            </w:r>
                            <w:r w:rsidRPr="002269F8">
                              <w:rPr>
                                <w:rFonts w:cstheme="minorHAnsi"/>
                                <w:lang w:val="en-GB"/>
                              </w:rPr>
                              <w:t xml:space="preserve">and </w:t>
                            </w:r>
                            <w:r>
                              <w:rPr>
                                <w:rFonts w:cstheme="minorHAnsi"/>
                                <w:lang w:val="en-GB"/>
                              </w:rPr>
                              <w:t>number of users per fee paying user type.</w:t>
                            </w:r>
                            <w:r w:rsidRPr="002269F8">
                              <w:rPr>
                                <w:rFonts w:cstheme="minorHAnsi"/>
                                <w:lang w:val="en-GB"/>
                              </w:rPr>
                              <w:t xml:space="preserve"> </w:t>
                            </w:r>
                          </w:p>
                          <w:p w14:paraId="4F1961F2" w14:textId="7F9E4BBB" w:rsidR="00A07860" w:rsidRDefault="007625FD" w:rsidP="007625FD">
                            <w:pPr>
                              <w:jc w:val="both"/>
                              <w:rPr>
                                <w:lang w:val="en-GB"/>
                              </w:rPr>
                            </w:pPr>
                            <w:r w:rsidRPr="00D367BD">
                              <w:rPr>
                                <w:lang w:val="en-GB"/>
                              </w:rPr>
                              <w:t xml:space="preserve">In keeping with existing practice for the OTC ISIN </w:t>
                            </w:r>
                            <w:r w:rsidR="0004787B">
                              <w:rPr>
                                <w:lang w:val="en-GB"/>
                              </w:rPr>
                              <w:t>S</w:t>
                            </w:r>
                            <w:r w:rsidRPr="00D367BD">
                              <w:rPr>
                                <w:lang w:val="en-GB"/>
                              </w:rPr>
                              <w:t>ervice,</w:t>
                            </w:r>
                            <w:r w:rsidRPr="00E202C9">
                              <w:rPr>
                                <w:lang w:val="en-GB"/>
                              </w:rPr>
                              <w:t xml:space="preserve"> </w:t>
                            </w:r>
                            <w:r w:rsidR="000054D6">
                              <w:rPr>
                                <w:lang w:val="en-GB"/>
                              </w:rPr>
                              <w:t xml:space="preserve">for a given contractual period, the fee </w:t>
                            </w:r>
                            <w:r w:rsidR="0004787B">
                              <w:rPr>
                                <w:lang w:val="en-GB"/>
                              </w:rPr>
                              <w:t>determination</w:t>
                            </w:r>
                            <w:r w:rsidR="000054D6">
                              <w:rPr>
                                <w:lang w:val="en-GB"/>
                              </w:rPr>
                              <w:t xml:space="preserve"> is therefore based on an estimation of costs. F</w:t>
                            </w:r>
                            <w:r w:rsidR="000054D6" w:rsidRPr="00E55E41">
                              <w:rPr>
                                <w:lang w:val="en-GB"/>
                              </w:rPr>
                              <w:t>ollowing the audited</w:t>
                            </w:r>
                            <w:r w:rsidR="000054D6">
                              <w:rPr>
                                <w:lang w:val="en-GB"/>
                              </w:rPr>
                              <w:t xml:space="preserve"> annual</w:t>
                            </w:r>
                            <w:r w:rsidR="000054D6" w:rsidRPr="00E55E41">
                              <w:rPr>
                                <w:lang w:val="en-GB"/>
                              </w:rPr>
                              <w:t xml:space="preserve"> statutory accounts</w:t>
                            </w:r>
                            <w:r w:rsidR="000054D6">
                              <w:rPr>
                                <w:lang w:val="en-GB"/>
                              </w:rPr>
                              <w:t>,</w:t>
                            </w:r>
                            <w:r w:rsidR="000054D6" w:rsidDel="0032446D">
                              <w:rPr>
                                <w:lang w:val="en-GB"/>
                              </w:rPr>
                              <w:t xml:space="preserve"> </w:t>
                            </w:r>
                            <w:r w:rsidR="000054D6">
                              <w:rPr>
                                <w:lang w:val="en-GB"/>
                              </w:rPr>
                              <w:t xml:space="preserve">any operational overspend within the </w:t>
                            </w:r>
                            <w:r w:rsidR="00F07F21">
                              <w:rPr>
                                <w:lang w:val="en-GB"/>
                              </w:rPr>
                              <w:t>UPI Service</w:t>
                            </w:r>
                            <w:r w:rsidR="000054D6">
                              <w:rPr>
                                <w:lang w:val="en-GB"/>
                              </w:rPr>
                              <w:t xml:space="preserve"> is netted off by any excess revenue or operational savings, </w:t>
                            </w:r>
                            <w:r w:rsidR="004E3885">
                              <w:rPr>
                                <w:lang w:val="en-GB"/>
                              </w:rPr>
                              <w:t>to</w:t>
                            </w:r>
                            <w:r w:rsidR="000054D6">
                              <w:rPr>
                                <w:lang w:val="en-GB"/>
                              </w:rPr>
                              <w:t xml:space="preserve"> set the Estimated Total UPI Cost f</w:t>
                            </w:r>
                            <w:r w:rsidR="000054D6" w:rsidRPr="00E55E41">
                              <w:rPr>
                                <w:lang w:val="en-GB"/>
                              </w:rPr>
                              <w:t>or the</w:t>
                            </w:r>
                            <w:r w:rsidR="000054D6">
                              <w:rPr>
                                <w:lang w:val="en-GB"/>
                              </w:rPr>
                              <w:t xml:space="preserve"> following</w:t>
                            </w:r>
                            <w:r w:rsidR="000054D6" w:rsidRPr="00E55E41">
                              <w:rPr>
                                <w:lang w:val="en-GB"/>
                              </w:rPr>
                              <w:t xml:space="preserve"> contract year</w:t>
                            </w:r>
                            <w:r w:rsidR="000054D6">
                              <w:rPr>
                                <w:lang w:val="en-GB"/>
                              </w:rPr>
                              <w:t>.</w:t>
                            </w:r>
                          </w:p>
                          <w:p w14:paraId="2004E6AA" w14:textId="02E8D0AB" w:rsidR="007A688F" w:rsidRDefault="007A688F" w:rsidP="007D68FD">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11a: </w:t>
                            </w:r>
                            <w:r w:rsidRPr="00C208E5">
                              <w:rPr>
                                <w:rStyle w:val="normaltextrun"/>
                                <w:rFonts w:cstheme="minorHAnsi"/>
                                <w:b/>
                                <w:bCs/>
                                <w:i/>
                                <w:iCs/>
                                <w:color w:val="000000"/>
                              </w:rPr>
                              <w:t xml:space="preserve">Do you agree that it is appropriate to </w:t>
                            </w:r>
                            <w:r w:rsidR="00A1005B">
                              <w:rPr>
                                <w:rStyle w:val="normaltextrun"/>
                                <w:rFonts w:cstheme="minorHAnsi"/>
                                <w:b/>
                                <w:bCs/>
                                <w:i/>
                                <w:iCs/>
                                <w:color w:val="000000"/>
                              </w:rPr>
                              <w:t xml:space="preserve">apply the same approach </w:t>
                            </w:r>
                            <w:r w:rsidR="00855F5E">
                              <w:rPr>
                                <w:rStyle w:val="normaltextrun"/>
                                <w:rFonts w:cstheme="minorHAnsi"/>
                                <w:b/>
                                <w:bCs/>
                                <w:i/>
                                <w:iCs/>
                                <w:color w:val="000000"/>
                              </w:rPr>
                              <w:t xml:space="preserve">to the Fee Model Variables </w:t>
                            </w:r>
                            <w:r w:rsidR="00A1005B">
                              <w:rPr>
                                <w:rStyle w:val="normaltextrun"/>
                                <w:rFonts w:cstheme="minorHAnsi"/>
                                <w:b/>
                                <w:bCs/>
                                <w:i/>
                                <w:iCs/>
                                <w:color w:val="000000"/>
                              </w:rPr>
                              <w:t>as used for the OTC ISIN service for the UPI Service</w:t>
                            </w:r>
                            <w:r>
                              <w:rPr>
                                <w:rStyle w:val="normaltextrun"/>
                                <w:rFonts w:cstheme="minorHAnsi"/>
                                <w:b/>
                                <w:bCs/>
                                <w:i/>
                                <w:iCs/>
                                <w:color w:val="000000"/>
                              </w:rPr>
                              <w:t>?</w:t>
                            </w:r>
                          </w:p>
                          <w:p w14:paraId="2FF813CC" w14:textId="1EF4391B" w:rsidR="007A688F" w:rsidRPr="00471A99" w:rsidRDefault="007A688F" w:rsidP="007D68FD">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11b: </w:t>
                            </w:r>
                            <w:r>
                              <w:rPr>
                                <w:rStyle w:val="normaltextrun"/>
                                <w:rFonts w:cstheme="minorHAnsi"/>
                                <w:b/>
                                <w:bCs/>
                                <w:i/>
                                <w:iCs/>
                                <w:color w:val="000000"/>
                              </w:rPr>
                              <w:t xml:space="preserve">If not, </w:t>
                            </w:r>
                            <w:r w:rsidRPr="000B0101">
                              <w:rPr>
                                <w:rStyle w:val="normaltextrun"/>
                                <w:rFonts w:cstheme="minorHAnsi"/>
                                <w:b/>
                                <w:i/>
                                <w:color w:val="000000"/>
                              </w:rPr>
                              <w:t>what specific alternate approach do you recommend? Please provide a clear and objective rationale for each alternate approach you recommend.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42400CE" id="_x0000_s1037" type="#_x0000_t202" style="position:absolute;left:0;text-align:left;margin-left:-7.75pt;margin-top:26.4pt;width:450.15pt;height:110.6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" strokecolor="#04aeb9">
                <v:textbox style="mso-fit-shape-to-text:t">
                  <w:txbxContent>
                    <w:p w14:paraId="7FED51D4"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48BF6912" w14:textId="77777777" w:rsidR="00A07860" w:rsidRDefault="00A07860" w:rsidP="007625FD">
                      <w:pPr>
                        <w:jc w:val="both"/>
                        <w:rPr>
                          <w:rFonts w:cstheme="minorHAnsi"/>
                          <w:lang w:val="en-GB"/>
                        </w:rPr>
                      </w:pPr>
                      <w:r>
                        <w:rPr>
                          <w:rFonts w:cstheme="minorHAnsi"/>
                          <w:lang w:val="en-GB"/>
                        </w:rPr>
                        <w:t xml:space="preserve">Based on the existing DSB fee model structure, the variables to calculate the user fees comprise the Estimated Total UPI Cost </w:t>
                      </w:r>
                      <w:r w:rsidRPr="002269F8">
                        <w:rPr>
                          <w:rFonts w:cstheme="minorHAnsi"/>
                          <w:lang w:val="en-GB"/>
                        </w:rPr>
                        <w:t xml:space="preserve">and </w:t>
                      </w:r>
                      <w:r>
                        <w:rPr>
                          <w:rFonts w:cstheme="minorHAnsi"/>
                          <w:lang w:val="en-GB"/>
                        </w:rPr>
                        <w:t>number of users per fee paying user type.</w:t>
                      </w:r>
                      <w:r w:rsidRPr="002269F8">
                        <w:rPr>
                          <w:rFonts w:cstheme="minorHAnsi"/>
                          <w:lang w:val="en-GB"/>
                        </w:rPr>
                        <w:t xml:space="preserve"> </w:t>
                      </w:r>
                    </w:p>
                    <w:p w14:paraId="4F1961F2" w14:textId="7F9E4BBB" w:rsidR="00A07860" w:rsidRDefault="007625FD" w:rsidP="007625FD">
                      <w:pPr>
                        <w:jc w:val="both"/>
                        <w:rPr>
                          <w:lang w:val="en-GB"/>
                        </w:rPr>
                      </w:pPr>
                      <w:r w:rsidRPr="00D367BD">
                        <w:rPr>
                          <w:lang w:val="en-GB"/>
                        </w:rPr>
                        <w:t xml:space="preserve">In keeping with existing practice for the OTC ISIN </w:t>
                      </w:r>
                      <w:r w:rsidR="0004787B">
                        <w:rPr>
                          <w:lang w:val="en-GB"/>
                        </w:rPr>
                        <w:t>S</w:t>
                      </w:r>
                      <w:r w:rsidRPr="00D367BD">
                        <w:rPr>
                          <w:lang w:val="en-GB"/>
                        </w:rPr>
                        <w:t>ervice,</w:t>
                      </w:r>
                      <w:r w:rsidRPr="00E202C9">
                        <w:rPr>
                          <w:lang w:val="en-GB"/>
                        </w:rPr>
                        <w:t xml:space="preserve"> </w:t>
                      </w:r>
                      <w:r w:rsidR="000054D6">
                        <w:rPr>
                          <w:lang w:val="en-GB"/>
                        </w:rPr>
                        <w:t xml:space="preserve">for a given contractual period, the fee </w:t>
                      </w:r>
                      <w:r w:rsidR="0004787B">
                        <w:rPr>
                          <w:lang w:val="en-GB"/>
                        </w:rPr>
                        <w:t>determination</w:t>
                      </w:r>
                      <w:r w:rsidR="000054D6">
                        <w:rPr>
                          <w:lang w:val="en-GB"/>
                        </w:rPr>
                        <w:t xml:space="preserve"> is therefore based on an estimation of costs. F</w:t>
                      </w:r>
                      <w:r w:rsidR="000054D6" w:rsidRPr="00E55E41">
                        <w:rPr>
                          <w:lang w:val="en-GB"/>
                        </w:rPr>
                        <w:t>ollowing the audited</w:t>
                      </w:r>
                      <w:r w:rsidR="000054D6">
                        <w:rPr>
                          <w:lang w:val="en-GB"/>
                        </w:rPr>
                        <w:t xml:space="preserve"> annual</w:t>
                      </w:r>
                      <w:r w:rsidR="000054D6" w:rsidRPr="00E55E41">
                        <w:rPr>
                          <w:lang w:val="en-GB"/>
                        </w:rPr>
                        <w:t xml:space="preserve"> statutory accounts</w:t>
                      </w:r>
                      <w:r w:rsidR="000054D6">
                        <w:rPr>
                          <w:lang w:val="en-GB"/>
                        </w:rPr>
                        <w:t>,</w:t>
                      </w:r>
                      <w:r w:rsidR="000054D6" w:rsidDel="0032446D">
                        <w:rPr>
                          <w:lang w:val="en-GB"/>
                        </w:rPr>
                        <w:t xml:space="preserve"> </w:t>
                      </w:r>
                      <w:r w:rsidR="000054D6">
                        <w:rPr>
                          <w:lang w:val="en-GB"/>
                        </w:rPr>
                        <w:t xml:space="preserve">any operational overspend within the </w:t>
                      </w:r>
                      <w:r w:rsidR="00F07F21">
                        <w:rPr>
                          <w:lang w:val="en-GB"/>
                        </w:rPr>
                        <w:t>UPI Service</w:t>
                      </w:r>
                      <w:r w:rsidR="000054D6">
                        <w:rPr>
                          <w:lang w:val="en-GB"/>
                        </w:rPr>
                        <w:t xml:space="preserve"> is netted off by any excess revenue or operational savings, </w:t>
                      </w:r>
                      <w:r w:rsidR="004E3885">
                        <w:rPr>
                          <w:lang w:val="en-GB"/>
                        </w:rPr>
                        <w:t>to</w:t>
                      </w:r>
                      <w:r w:rsidR="000054D6">
                        <w:rPr>
                          <w:lang w:val="en-GB"/>
                        </w:rPr>
                        <w:t xml:space="preserve"> set the Estimated Total UPI Cost f</w:t>
                      </w:r>
                      <w:r w:rsidR="000054D6" w:rsidRPr="00E55E41">
                        <w:rPr>
                          <w:lang w:val="en-GB"/>
                        </w:rPr>
                        <w:t>or the</w:t>
                      </w:r>
                      <w:r w:rsidR="000054D6">
                        <w:rPr>
                          <w:lang w:val="en-GB"/>
                        </w:rPr>
                        <w:t xml:space="preserve"> following</w:t>
                      </w:r>
                      <w:r w:rsidR="000054D6" w:rsidRPr="00E55E41">
                        <w:rPr>
                          <w:lang w:val="en-GB"/>
                        </w:rPr>
                        <w:t xml:space="preserve"> contract year</w:t>
                      </w:r>
                      <w:r w:rsidR="000054D6">
                        <w:rPr>
                          <w:lang w:val="en-GB"/>
                        </w:rPr>
                        <w:t>.</w:t>
                      </w:r>
                    </w:p>
                    <w:p w14:paraId="2004E6AA" w14:textId="02E8D0AB" w:rsidR="007A688F" w:rsidRDefault="007A688F" w:rsidP="007D68FD">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11a: </w:t>
                      </w:r>
                      <w:r w:rsidRPr="00C208E5">
                        <w:rPr>
                          <w:rStyle w:val="normaltextrun"/>
                          <w:rFonts w:cstheme="minorHAnsi"/>
                          <w:b/>
                          <w:bCs/>
                          <w:i/>
                          <w:iCs/>
                          <w:color w:val="000000"/>
                        </w:rPr>
                        <w:t xml:space="preserve">Do you agree that it is appropriate to </w:t>
                      </w:r>
                      <w:r w:rsidR="00A1005B">
                        <w:rPr>
                          <w:rStyle w:val="normaltextrun"/>
                          <w:rFonts w:cstheme="minorHAnsi"/>
                          <w:b/>
                          <w:bCs/>
                          <w:i/>
                          <w:iCs/>
                          <w:color w:val="000000"/>
                        </w:rPr>
                        <w:t xml:space="preserve">apply the same approach </w:t>
                      </w:r>
                      <w:r w:rsidR="00855F5E">
                        <w:rPr>
                          <w:rStyle w:val="normaltextrun"/>
                          <w:rFonts w:cstheme="minorHAnsi"/>
                          <w:b/>
                          <w:bCs/>
                          <w:i/>
                          <w:iCs/>
                          <w:color w:val="000000"/>
                        </w:rPr>
                        <w:t xml:space="preserve">to the Fee Model Variables </w:t>
                      </w:r>
                      <w:r w:rsidR="00A1005B">
                        <w:rPr>
                          <w:rStyle w:val="normaltextrun"/>
                          <w:rFonts w:cstheme="minorHAnsi"/>
                          <w:b/>
                          <w:bCs/>
                          <w:i/>
                          <w:iCs/>
                          <w:color w:val="000000"/>
                        </w:rPr>
                        <w:t>as used for the OTC ISIN service for the UPI Service</w:t>
                      </w:r>
                      <w:r>
                        <w:rPr>
                          <w:rStyle w:val="normaltextrun"/>
                          <w:rFonts w:cstheme="minorHAnsi"/>
                          <w:b/>
                          <w:bCs/>
                          <w:i/>
                          <w:iCs/>
                          <w:color w:val="000000"/>
                        </w:rPr>
                        <w:t>?</w:t>
                      </w:r>
                    </w:p>
                    <w:p w14:paraId="2FF813CC" w14:textId="1EF4391B" w:rsidR="007A688F" w:rsidRPr="00471A99" w:rsidRDefault="007A688F" w:rsidP="007D68FD">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11b: </w:t>
                      </w:r>
                      <w:r>
                        <w:rPr>
                          <w:rStyle w:val="normaltextrun"/>
                          <w:rFonts w:cstheme="minorHAnsi"/>
                          <w:b/>
                          <w:bCs/>
                          <w:i/>
                          <w:iCs/>
                          <w:color w:val="000000"/>
                        </w:rPr>
                        <w:t xml:space="preserve">If not, </w:t>
                      </w:r>
                      <w:r w:rsidRPr="000B0101">
                        <w:rPr>
                          <w:rStyle w:val="normaltextrun"/>
                          <w:rFonts w:cstheme="minorHAnsi"/>
                          <w:b/>
                          <w:i/>
                          <w:color w:val="000000"/>
                        </w:rPr>
                        <w:t>what specific alternate approach do you recommend? Please provide a clear and objective rationale for each alternate approach you recommend.</w:t>
                      </w:r>
                    </w:p>
                  </w:txbxContent>
                </v:textbox>
                <w10:wrap type="square" anchorx="margin"/>
              </v:shape>
            </w:pict>
          </mc:Fallback>
        </mc:AlternateContent>
      </w:r>
      <w:r>
        <w:t>Q11 – Fee Model Variables</w:t>
      </w:r>
      <w:bookmarkEnd w:id="122"/>
      <w:bookmarkEnd w:id="123"/>
      <w:bookmarkEnd w:id="124"/>
    </w:p>
    <w:p w14:paraId="5DA03125" w14:textId="77777777" w:rsidR="007625FD" w:rsidRDefault="007625FD" w:rsidP="007625FD">
      <w:pPr>
        <w:jc w:val="both"/>
        <w:rPr>
          <w:b/>
          <w:bCs/>
          <w:u w:val="single"/>
        </w:rPr>
      </w:pPr>
    </w:p>
    <w:p w14:paraId="658A40E4" w14:textId="6F82E608" w:rsidR="007625FD" w:rsidRDefault="007625FD" w:rsidP="007625FD">
      <w:pPr>
        <w:jc w:val="both"/>
        <w:rPr>
          <w:b/>
          <w:bCs/>
          <w:u w:val="single"/>
        </w:rPr>
      </w:pPr>
      <w:r>
        <w:rPr>
          <w:b/>
          <w:bCs/>
          <w:u w:val="single"/>
        </w:rPr>
        <w:t>DSB Proposal</w:t>
      </w:r>
      <w:r w:rsidRPr="00623841">
        <w:rPr>
          <w:b/>
          <w:bCs/>
          <w:u w:val="single"/>
        </w:rPr>
        <w:t>:</w:t>
      </w:r>
    </w:p>
    <w:p w14:paraId="675451AF" w14:textId="3B94F2EB" w:rsidR="00E80364" w:rsidRDefault="00657B1E" w:rsidP="003D7C11">
      <w:pPr>
        <w:jc w:val="both"/>
        <w:rPr>
          <w:rFonts w:cstheme="minorHAnsi"/>
          <w:lang w:val="en-GB"/>
        </w:rPr>
      </w:pPr>
      <w:r>
        <w:rPr>
          <w:rFonts w:cstheme="minorHAnsi"/>
          <w:lang w:val="en-GB"/>
        </w:rPr>
        <w:t xml:space="preserve">As further detailed in the </w:t>
      </w:r>
      <w:r w:rsidRPr="00657B1E">
        <w:rPr>
          <w:rFonts w:cstheme="minorHAnsi"/>
          <w:lang w:val="en-GB"/>
        </w:rPr>
        <w:t xml:space="preserve">DSB UPI Fee Model Consultation </w:t>
      </w:r>
      <w:hyperlink r:id="rId40" w:history="1">
        <w:r w:rsidRPr="00574B1F">
          <w:rPr>
            <w:rStyle w:val="Hyperlink"/>
            <w:rFonts w:cstheme="minorHAnsi"/>
            <w:lang w:val="en-GB"/>
          </w:rPr>
          <w:t>Final Report</w:t>
        </w:r>
      </w:hyperlink>
      <w:r>
        <w:rPr>
          <w:rFonts w:cstheme="minorHAnsi"/>
          <w:lang w:val="en-GB"/>
        </w:rPr>
        <w:t xml:space="preserve">, </w:t>
      </w:r>
      <w:r w:rsidR="003D7C11">
        <w:rPr>
          <w:rFonts w:cstheme="minorHAnsi"/>
          <w:lang w:val="en-GB"/>
        </w:rPr>
        <w:t>UPI user f</w:t>
      </w:r>
      <w:r w:rsidR="003D7C11" w:rsidRPr="002269F8">
        <w:rPr>
          <w:rFonts w:cstheme="minorHAnsi"/>
          <w:lang w:val="en-GB"/>
        </w:rPr>
        <w:t xml:space="preserve">ees </w:t>
      </w:r>
      <w:r w:rsidR="003D7C11">
        <w:rPr>
          <w:rFonts w:cstheme="minorHAnsi"/>
          <w:lang w:val="en-GB"/>
        </w:rPr>
        <w:t>will be</w:t>
      </w:r>
      <w:r w:rsidR="003D7C11" w:rsidRPr="002269F8">
        <w:rPr>
          <w:rFonts w:cstheme="minorHAnsi"/>
          <w:lang w:val="en-GB"/>
        </w:rPr>
        <w:t xml:space="preserve"> charged on a </w:t>
      </w:r>
      <w:r w:rsidR="003D7C11">
        <w:rPr>
          <w:rFonts w:cstheme="minorHAnsi"/>
          <w:lang w:val="en-GB"/>
        </w:rPr>
        <w:t>c</w:t>
      </w:r>
      <w:r w:rsidR="003D7C11" w:rsidRPr="002269F8">
        <w:rPr>
          <w:rFonts w:cstheme="minorHAnsi"/>
          <w:lang w:val="en-GB"/>
        </w:rPr>
        <w:t xml:space="preserve">ost </w:t>
      </w:r>
      <w:r w:rsidR="003D7C11">
        <w:rPr>
          <w:rFonts w:cstheme="minorHAnsi"/>
          <w:lang w:val="en-GB"/>
        </w:rPr>
        <w:t>r</w:t>
      </w:r>
      <w:r w:rsidR="003D7C11" w:rsidRPr="002269F8">
        <w:rPr>
          <w:rFonts w:cstheme="minorHAnsi"/>
          <w:lang w:val="en-GB"/>
        </w:rPr>
        <w:t>ecovery basis,</w:t>
      </w:r>
      <w:r w:rsidR="0033687C">
        <w:rPr>
          <w:rFonts w:cstheme="minorHAnsi"/>
          <w:lang w:val="en-GB"/>
        </w:rPr>
        <w:t xml:space="preserve"> </w:t>
      </w:r>
      <w:r w:rsidR="003D7C11">
        <w:rPr>
          <w:rFonts w:cstheme="minorHAnsi"/>
          <w:lang w:val="en-GB"/>
        </w:rPr>
        <w:t xml:space="preserve">with </w:t>
      </w:r>
      <w:r w:rsidR="00D37BAA">
        <w:rPr>
          <w:rFonts w:cstheme="minorHAnsi"/>
          <w:lang w:val="en-GB"/>
        </w:rPr>
        <w:t>F</w:t>
      </w:r>
      <w:r w:rsidR="003D7C11">
        <w:rPr>
          <w:rFonts w:cstheme="minorHAnsi"/>
          <w:lang w:val="en-GB"/>
        </w:rPr>
        <w:t xml:space="preserve">ee </w:t>
      </w:r>
      <w:r w:rsidR="00D37BAA">
        <w:rPr>
          <w:rFonts w:cstheme="minorHAnsi"/>
          <w:lang w:val="en-GB"/>
        </w:rPr>
        <w:t>M</w:t>
      </w:r>
      <w:r w:rsidR="003D7C11">
        <w:rPr>
          <w:rFonts w:cstheme="minorHAnsi"/>
          <w:lang w:val="en-GB"/>
        </w:rPr>
        <w:t xml:space="preserve">odel </w:t>
      </w:r>
      <w:r w:rsidR="00D37BAA">
        <w:rPr>
          <w:rFonts w:cstheme="minorHAnsi"/>
          <w:lang w:val="en-GB"/>
        </w:rPr>
        <w:t>V</w:t>
      </w:r>
      <w:r w:rsidR="003D7C11">
        <w:rPr>
          <w:rFonts w:cstheme="minorHAnsi"/>
          <w:lang w:val="en-GB"/>
        </w:rPr>
        <w:t>ariables</w:t>
      </w:r>
      <w:r w:rsidR="008653CA">
        <w:rPr>
          <w:rStyle w:val="FootnoteReference"/>
          <w:rFonts w:cstheme="minorHAnsi"/>
          <w:lang w:val="en-GB"/>
        </w:rPr>
        <w:footnoteReference w:id="57"/>
      </w:r>
      <w:r w:rsidR="003D7C11">
        <w:rPr>
          <w:rFonts w:cstheme="minorHAnsi"/>
          <w:lang w:val="en-GB"/>
        </w:rPr>
        <w:t xml:space="preserve"> used to determine the </w:t>
      </w:r>
      <w:r w:rsidR="00D37BAA">
        <w:rPr>
          <w:rFonts w:cstheme="minorHAnsi"/>
          <w:lang w:val="en-GB"/>
        </w:rPr>
        <w:t xml:space="preserve">annual </w:t>
      </w:r>
      <w:r w:rsidR="003D7C11">
        <w:rPr>
          <w:rFonts w:cstheme="minorHAnsi"/>
          <w:lang w:val="en-GB"/>
        </w:rPr>
        <w:t xml:space="preserve">user fee per </w:t>
      </w:r>
      <w:r w:rsidR="00D37BAA">
        <w:rPr>
          <w:rFonts w:cstheme="minorHAnsi"/>
          <w:lang w:val="en-GB"/>
        </w:rPr>
        <w:t>U</w:t>
      </w:r>
      <w:r w:rsidR="003D7C11">
        <w:rPr>
          <w:rFonts w:cstheme="minorHAnsi"/>
          <w:lang w:val="en-GB"/>
        </w:rPr>
        <w:t xml:space="preserve">ser </w:t>
      </w:r>
      <w:r w:rsidR="00D37BAA">
        <w:rPr>
          <w:rFonts w:cstheme="minorHAnsi"/>
          <w:lang w:val="en-GB"/>
        </w:rPr>
        <w:t>T</w:t>
      </w:r>
      <w:r w:rsidR="003D7C11">
        <w:rPr>
          <w:rFonts w:cstheme="minorHAnsi"/>
          <w:lang w:val="en-GB"/>
        </w:rPr>
        <w:t xml:space="preserve">ype. </w:t>
      </w:r>
      <w:r w:rsidR="008E3513">
        <w:rPr>
          <w:rFonts w:cstheme="minorHAnsi"/>
          <w:lang w:val="en-GB"/>
        </w:rPr>
        <w:t>This approach aligns with the FSB Governance Criteria for Cost where a</w:t>
      </w:r>
      <w:r w:rsidR="008E3513" w:rsidRPr="00D309A4">
        <w:rPr>
          <w:rFonts w:cstheme="minorHAnsi"/>
          <w:lang w:val="en-GB"/>
        </w:rPr>
        <w:t>ny fees charged should be based on cost recovery and should be allocated among stakeholders fairly.</w:t>
      </w:r>
      <w:r w:rsidR="008E3513" w:rsidRPr="002269F8">
        <w:rPr>
          <w:rFonts w:cstheme="minorHAnsi"/>
          <w:lang w:val="en-GB"/>
        </w:rPr>
        <w:t xml:space="preserve"> </w:t>
      </w:r>
    </w:p>
    <w:p w14:paraId="67365E9D" w14:textId="3DB1493C" w:rsidR="003D7C11" w:rsidRDefault="003D7C11" w:rsidP="003D7C11">
      <w:pPr>
        <w:jc w:val="both"/>
        <w:rPr>
          <w:rFonts w:cstheme="minorHAnsi"/>
          <w:lang w:val="en-GB"/>
        </w:rPr>
      </w:pPr>
      <w:r>
        <w:rPr>
          <w:rFonts w:cstheme="minorHAnsi"/>
          <w:lang w:val="en-GB"/>
        </w:rPr>
        <w:t xml:space="preserve">Based on the existing DSB fee model structure, the </w:t>
      </w:r>
      <w:r w:rsidR="002B6632">
        <w:rPr>
          <w:rFonts w:cstheme="minorHAnsi"/>
          <w:lang w:val="en-GB"/>
        </w:rPr>
        <w:t>Fee Model Variables used</w:t>
      </w:r>
      <w:r>
        <w:rPr>
          <w:rFonts w:cstheme="minorHAnsi"/>
          <w:lang w:val="en-GB"/>
        </w:rPr>
        <w:t xml:space="preserve"> to </w:t>
      </w:r>
      <w:r w:rsidR="002B6632">
        <w:rPr>
          <w:rFonts w:cstheme="minorHAnsi"/>
          <w:lang w:val="en-GB"/>
        </w:rPr>
        <w:t>determine</w:t>
      </w:r>
      <w:r>
        <w:rPr>
          <w:rFonts w:cstheme="minorHAnsi"/>
          <w:lang w:val="en-GB"/>
        </w:rPr>
        <w:t xml:space="preserve"> the user fees </w:t>
      </w:r>
      <w:r w:rsidR="002B6632">
        <w:rPr>
          <w:rFonts w:cstheme="minorHAnsi"/>
          <w:lang w:val="en-GB"/>
        </w:rPr>
        <w:t xml:space="preserve">will </w:t>
      </w:r>
      <w:r>
        <w:rPr>
          <w:rFonts w:cstheme="minorHAnsi"/>
          <w:lang w:val="en-GB"/>
        </w:rPr>
        <w:t xml:space="preserve">comprise the Estimated Total UPI Cost </w:t>
      </w:r>
      <w:r w:rsidRPr="002269F8">
        <w:rPr>
          <w:rFonts w:cstheme="minorHAnsi"/>
          <w:lang w:val="en-GB"/>
        </w:rPr>
        <w:t xml:space="preserve">and </w:t>
      </w:r>
      <w:r>
        <w:rPr>
          <w:rFonts w:cstheme="minorHAnsi"/>
          <w:lang w:val="en-GB"/>
        </w:rPr>
        <w:t xml:space="preserve">number of users per fee paying </w:t>
      </w:r>
      <w:r w:rsidR="00F07F21">
        <w:rPr>
          <w:rFonts w:cstheme="minorHAnsi"/>
          <w:lang w:val="en-GB"/>
        </w:rPr>
        <w:t>User Type</w:t>
      </w:r>
      <w:r>
        <w:rPr>
          <w:rFonts w:cstheme="minorHAnsi"/>
          <w:lang w:val="en-GB"/>
        </w:rPr>
        <w:t>.</w:t>
      </w:r>
      <w:r w:rsidRPr="002269F8">
        <w:rPr>
          <w:rFonts w:cstheme="minorHAnsi"/>
          <w:lang w:val="en-GB"/>
        </w:rPr>
        <w:t xml:space="preserve"> </w:t>
      </w:r>
      <w:r>
        <w:rPr>
          <w:rFonts w:cstheme="minorHAnsi"/>
          <w:lang w:val="en-GB"/>
        </w:rPr>
        <w:t>Based on this model,</w:t>
      </w:r>
      <w:r w:rsidRPr="002269F8">
        <w:rPr>
          <w:rFonts w:cstheme="minorHAnsi"/>
          <w:lang w:val="en-GB"/>
        </w:rPr>
        <w:t xml:space="preserve"> the higher the number of users, the lower the fee per user.  </w:t>
      </w:r>
    </w:p>
    <w:p w14:paraId="660127AB" w14:textId="73FC626D" w:rsidR="00764BE4" w:rsidRDefault="002B6632" w:rsidP="00B75769">
      <w:pPr>
        <w:spacing w:before="240"/>
        <w:jc w:val="both"/>
      </w:pPr>
      <w:r>
        <w:t>I</w:t>
      </w:r>
      <w:r w:rsidR="00EE174A">
        <w:t xml:space="preserve">t is </w:t>
      </w:r>
      <w:r>
        <w:t>proposed</w:t>
      </w:r>
      <w:r w:rsidR="00EE174A">
        <w:t xml:space="preserve"> that the</w:t>
      </w:r>
      <w:r w:rsidR="00B75769">
        <w:t xml:space="preserve"> </w:t>
      </w:r>
      <w:r w:rsidR="00B75769">
        <w:rPr>
          <w:rFonts w:cstheme="minorHAnsi"/>
          <w:lang w:val="en-GB"/>
        </w:rPr>
        <w:t xml:space="preserve">Estimated Total UPI Cost </w:t>
      </w:r>
      <w:r w:rsidR="0033687C">
        <w:rPr>
          <w:rFonts w:cstheme="minorHAnsi"/>
          <w:lang w:val="en-GB"/>
        </w:rPr>
        <w:t>will be</w:t>
      </w:r>
      <w:r w:rsidR="007D7DC0">
        <w:rPr>
          <w:rFonts w:cstheme="minorHAnsi"/>
          <w:lang w:val="en-GB"/>
        </w:rPr>
        <w:t xml:space="preserve"> </w:t>
      </w:r>
      <w:r w:rsidR="00A01077">
        <w:rPr>
          <w:rFonts w:cstheme="minorHAnsi"/>
          <w:lang w:val="en-GB"/>
        </w:rPr>
        <w:t>established</w:t>
      </w:r>
      <w:r>
        <w:rPr>
          <w:rFonts w:cstheme="minorHAnsi"/>
          <w:lang w:val="en-GB"/>
        </w:rPr>
        <w:t xml:space="preserve"> in the same manner</w:t>
      </w:r>
      <w:r w:rsidR="007D7DC0">
        <w:rPr>
          <w:rFonts w:cstheme="minorHAnsi"/>
          <w:lang w:val="en-GB"/>
        </w:rPr>
        <w:t xml:space="preserve"> as</w:t>
      </w:r>
      <w:r>
        <w:rPr>
          <w:rFonts w:cstheme="minorHAnsi"/>
          <w:lang w:val="en-GB"/>
        </w:rPr>
        <w:t xml:space="preserve"> </w:t>
      </w:r>
      <w:r>
        <w:t xml:space="preserve">for the OTC ISIN Service, outlined in </w:t>
      </w:r>
      <w:r>
        <w:rPr>
          <w:lang w:val="en-GB"/>
        </w:rPr>
        <w:t>section 2.2 of</w:t>
      </w:r>
      <w:r>
        <w:t xml:space="preserve"> the </w:t>
      </w:r>
      <w:r w:rsidR="00893809">
        <w:t xml:space="preserve">existing </w:t>
      </w:r>
      <w:r>
        <w:t>Charges Policy, as</w:t>
      </w:r>
      <w:r w:rsidR="007D7DC0">
        <w:rPr>
          <w:rFonts w:cstheme="minorHAnsi"/>
          <w:lang w:val="en-GB"/>
        </w:rPr>
        <w:t xml:space="preserve"> follows</w:t>
      </w:r>
      <w:r w:rsidR="0030209A">
        <w:t>:</w:t>
      </w:r>
    </w:p>
    <w:p w14:paraId="0799DFCE" w14:textId="6B8BCC0C" w:rsidR="00B75769" w:rsidRDefault="00764BE4" w:rsidP="00B75769">
      <w:pPr>
        <w:spacing w:before="240"/>
        <w:jc w:val="both"/>
      </w:pPr>
      <w:r w:rsidRPr="00764BE4">
        <w:t xml:space="preserve">The </w:t>
      </w:r>
      <w:r>
        <w:t>Estimate</w:t>
      </w:r>
      <w:r w:rsidR="00EB123D">
        <w:t>d</w:t>
      </w:r>
      <w:r>
        <w:t xml:space="preserve"> </w:t>
      </w:r>
      <w:r w:rsidRPr="00764BE4">
        <w:t xml:space="preserve">Total </w:t>
      </w:r>
      <w:r>
        <w:t>UPI</w:t>
      </w:r>
      <w:r w:rsidRPr="00764BE4">
        <w:t xml:space="preserve"> Cost is a forecast of the operational costs </w:t>
      </w:r>
      <w:r w:rsidR="00E37137">
        <w:t>(</w:t>
      </w:r>
      <w:proofErr w:type="spellStart"/>
      <w:r w:rsidR="00E37137">
        <w:t>Op</w:t>
      </w:r>
      <w:r w:rsidR="0080023E">
        <w:t>ex</w:t>
      </w:r>
      <w:proofErr w:type="spellEnd"/>
      <w:r w:rsidR="00E37137">
        <w:t xml:space="preserve">) </w:t>
      </w:r>
      <w:r w:rsidRPr="00764BE4">
        <w:t xml:space="preserve">of the DSB Service for each calendar year which </w:t>
      </w:r>
      <w:proofErr w:type="gramStart"/>
      <w:r w:rsidRPr="00764BE4">
        <w:t>takes into account</w:t>
      </w:r>
      <w:proofErr w:type="gramEnd"/>
      <w:r w:rsidRPr="00764BE4">
        <w:t>:</w:t>
      </w:r>
      <w:r w:rsidR="00B75769">
        <w:t xml:space="preserve"> </w:t>
      </w:r>
    </w:p>
    <w:p w14:paraId="1255E385" w14:textId="3458EC81" w:rsidR="00EE174A" w:rsidRDefault="00EE174A" w:rsidP="00E37137">
      <w:pPr>
        <w:spacing w:before="120" w:after="120"/>
        <w:ind w:left="720"/>
        <w:jc w:val="both"/>
      </w:pPr>
      <w:r>
        <w:t xml:space="preserve">(a) any adjustment related to the audited financial accounts from the previous years’ Total DSB Cost including Excess Fee </w:t>
      </w:r>
      <w:r w:rsidR="00470F4B">
        <w:t>Income.</w:t>
      </w:r>
    </w:p>
    <w:p w14:paraId="04063305" w14:textId="40DE9900" w:rsidR="00EE174A" w:rsidRDefault="00EE174A" w:rsidP="00E37137">
      <w:pPr>
        <w:spacing w:before="120" w:after="120"/>
        <w:ind w:left="720"/>
        <w:jc w:val="both"/>
      </w:pPr>
      <w:r>
        <w:t>(b) the amortization of capital expenditure over 4 years commencing the year after the charge has been incurred</w:t>
      </w:r>
      <w:r w:rsidR="00893809">
        <w:t xml:space="preserve"> (a Time-Limited Cost)</w:t>
      </w:r>
      <w:r>
        <w:t>; and</w:t>
      </w:r>
    </w:p>
    <w:p w14:paraId="3CDD10B2" w14:textId="30ABBA2C" w:rsidR="00893809" w:rsidRDefault="00EE174A" w:rsidP="00A14A92">
      <w:pPr>
        <w:spacing w:before="120" w:after="120"/>
        <w:ind w:left="720"/>
        <w:jc w:val="both"/>
      </w:pPr>
      <w:r>
        <w:lastRenderedPageBreak/>
        <w:t>(c) any financing costs</w:t>
      </w:r>
      <w:r w:rsidR="00893809">
        <w:t xml:space="preserve"> (a Time-Limited Cost)</w:t>
      </w:r>
      <w:r>
        <w:t>, where applicable.</w:t>
      </w:r>
      <w:r w:rsidDel="00EE174A">
        <w:t xml:space="preserve"> </w:t>
      </w:r>
    </w:p>
    <w:p w14:paraId="18A862F7" w14:textId="3FBF648D" w:rsidR="003D7C11" w:rsidRPr="007D68FD" w:rsidRDefault="00B75769" w:rsidP="00A14A92">
      <w:pPr>
        <w:spacing w:before="240"/>
        <w:jc w:val="both"/>
      </w:pPr>
      <w:r>
        <w:t xml:space="preserve">The </w:t>
      </w:r>
      <w:proofErr w:type="spellStart"/>
      <w:r w:rsidR="000744B9">
        <w:t>Opex</w:t>
      </w:r>
      <w:proofErr w:type="spellEnd"/>
      <w:r w:rsidR="000744B9">
        <w:t xml:space="preserve"> and </w:t>
      </w:r>
      <w:r>
        <w:t xml:space="preserve">Time-Limited Costs are combined to establish the annual </w:t>
      </w:r>
      <w:r w:rsidRPr="003C1B13">
        <w:rPr>
          <w:rFonts w:cstheme="minorHAnsi"/>
        </w:rPr>
        <w:t>Estimate</w:t>
      </w:r>
      <w:r>
        <w:rPr>
          <w:rFonts w:cstheme="minorHAnsi"/>
        </w:rPr>
        <w:t>d Total UPI</w:t>
      </w:r>
      <w:r w:rsidRPr="003C1B13">
        <w:rPr>
          <w:rFonts w:cstheme="minorHAnsi"/>
        </w:rPr>
        <w:t xml:space="preserve"> Cost</w:t>
      </w:r>
      <w:r>
        <w:rPr>
          <w:rFonts w:cstheme="minorHAnsi"/>
        </w:rPr>
        <w:t>.</w:t>
      </w:r>
      <w:r w:rsidRPr="003C1B13">
        <w:rPr>
          <w:rFonts w:cstheme="minorHAnsi"/>
        </w:rPr>
        <w:t xml:space="preserve"> </w:t>
      </w:r>
    </w:p>
    <w:p w14:paraId="29D8BFEF" w14:textId="296327FE" w:rsidR="000B6D69" w:rsidRDefault="005D6730" w:rsidP="007625FD">
      <w:pPr>
        <w:jc w:val="both"/>
        <w:rPr>
          <w:lang w:val="en-GB"/>
        </w:rPr>
      </w:pPr>
      <w:r>
        <w:rPr>
          <w:lang w:val="en-GB"/>
        </w:rPr>
        <w:t>For a given contractual period, the</w:t>
      </w:r>
      <w:r w:rsidR="00E2652E">
        <w:rPr>
          <w:lang w:val="en-GB"/>
        </w:rPr>
        <w:t xml:space="preserve"> annual</w:t>
      </w:r>
      <w:r>
        <w:rPr>
          <w:lang w:val="en-GB"/>
        </w:rPr>
        <w:t xml:space="preserve"> fee</w:t>
      </w:r>
      <w:r w:rsidR="00E2652E">
        <w:rPr>
          <w:lang w:val="en-GB"/>
        </w:rPr>
        <w:t>s</w:t>
      </w:r>
      <w:r>
        <w:rPr>
          <w:lang w:val="en-GB"/>
        </w:rPr>
        <w:t xml:space="preserve"> </w:t>
      </w:r>
      <w:r w:rsidR="00E2652E">
        <w:rPr>
          <w:lang w:val="en-GB"/>
        </w:rPr>
        <w:t>are</w:t>
      </w:r>
      <w:r>
        <w:rPr>
          <w:lang w:val="en-GB"/>
        </w:rPr>
        <w:t xml:space="preserve"> based on an estimation of costs. F</w:t>
      </w:r>
      <w:r w:rsidRPr="00E55E41">
        <w:rPr>
          <w:lang w:val="en-GB"/>
        </w:rPr>
        <w:t xml:space="preserve">ollowing the </w:t>
      </w:r>
      <w:r w:rsidR="002934CF" w:rsidRPr="002934CF">
        <w:rPr>
          <w:lang w:val="en-GB"/>
        </w:rPr>
        <w:t xml:space="preserve">end of each calendar year, based on the DSB’s annual </w:t>
      </w:r>
      <w:r w:rsidR="001C68EC">
        <w:rPr>
          <w:lang w:val="en-GB"/>
        </w:rPr>
        <w:t xml:space="preserve">statutory </w:t>
      </w:r>
      <w:r w:rsidR="002934CF" w:rsidRPr="002934CF">
        <w:rPr>
          <w:lang w:val="en-GB"/>
        </w:rPr>
        <w:t>audited financial accounts</w:t>
      </w:r>
      <w:r w:rsidR="001C68EC">
        <w:rPr>
          <w:rStyle w:val="FootnoteReference"/>
          <w:lang w:val="en-GB"/>
        </w:rPr>
        <w:footnoteReference w:id="58"/>
      </w:r>
      <w:r w:rsidR="002934CF" w:rsidRPr="002934CF">
        <w:rPr>
          <w:lang w:val="en-GB"/>
        </w:rPr>
        <w:t xml:space="preserve">, the Actual Total </w:t>
      </w:r>
      <w:r w:rsidR="002934CF">
        <w:rPr>
          <w:lang w:val="en-GB"/>
        </w:rPr>
        <w:t>UPI</w:t>
      </w:r>
      <w:r w:rsidR="002934CF" w:rsidRPr="002934CF">
        <w:rPr>
          <w:lang w:val="en-GB"/>
        </w:rPr>
        <w:t xml:space="preserve"> Cost will be established.</w:t>
      </w:r>
      <w:r w:rsidR="00714EDC">
        <w:rPr>
          <w:lang w:val="en-GB"/>
        </w:rPr>
        <w:t xml:space="preserve"> </w:t>
      </w:r>
      <w:r w:rsidR="00D71FB5">
        <w:rPr>
          <w:lang w:val="en-GB"/>
        </w:rPr>
        <w:t>The</w:t>
      </w:r>
      <w:r w:rsidR="006D4313">
        <w:rPr>
          <w:lang w:val="en-GB"/>
        </w:rPr>
        <w:t xml:space="preserve"> </w:t>
      </w:r>
      <w:r w:rsidR="00E05887">
        <w:rPr>
          <w:lang w:val="en-GB"/>
        </w:rPr>
        <w:t xml:space="preserve">reconciliation </w:t>
      </w:r>
      <w:r w:rsidR="00E92EDE">
        <w:rPr>
          <w:lang w:val="en-GB"/>
        </w:rPr>
        <w:t>between</w:t>
      </w:r>
      <w:r w:rsidR="006D4313">
        <w:rPr>
          <w:lang w:val="en-GB"/>
        </w:rPr>
        <w:t xml:space="preserve"> the </w:t>
      </w:r>
      <w:r w:rsidR="006D4313" w:rsidRPr="003C1B13">
        <w:rPr>
          <w:rFonts w:cstheme="minorHAnsi"/>
        </w:rPr>
        <w:t>Estimate</w:t>
      </w:r>
      <w:r w:rsidR="006D4313">
        <w:rPr>
          <w:rFonts w:cstheme="minorHAnsi"/>
        </w:rPr>
        <w:t>d Total UPI</w:t>
      </w:r>
      <w:r w:rsidR="006D4313" w:rsidRPr="003C1B13">
        <w:rPr>
          <w:rFonts w:cstheme="minorHAnsi"/>
        </w:rPr>
        <w:t xml:space="preserve"> Cost</w:t>
      </w:r>
      <w:r w:rsidR="006D4313">
        <w:rPr>
          <w:rFonts w:cstheme="minorHAnsi"/>
        </w:rPr>
        <w:t xml:space="preserve"> and</w:t>
      </w:r>
      <w:r w:rsidR="00D71FB5">
        <w:rPr>
          <w:lang w:val="en-GB"/>
        </w:rPr>
        <w:t xml:space="preserve"> Actual </w:t>
      </w:r>
      <w:r w:rsidR="00902302">
        <w:rPr>
          <w:lang w:val="en-GB"/>
        </w:rPr>
        <w:t xml:space="preserve">Total UPI </w:t>
      </w:r>
      <w:r w:rsidR="0094056F">
        <w:rPr>
          <w:lang w:val="en-GB"/>
        </w:rPr>
        <w:t xml:space="preserve">Cost </w:t>
      </w:r>
      <w:r w:rsidR="00E92EDE">
        <w:rPr>
          <w:lang w:val="en-GB"/>
        </w:rPr>
        <w:t xml:space="preserve">for a given </w:t>
      </w:r>
      <w:r w:rsidR="00D8650A">
        <w:rPr>
          <w:lang w:val="en-GB"/>
        </w:rPr>
        <w:t xml:space="preserve">annual period </w:t>
      </w:r>
      <w:r w:rsidR="0094056F">
        <w:rPr>
          <w:lang w:val="en-GB"/>
        </w:rPr>
        <w:t xml:space="preserve">will identify any </w:t>
      </w:r>
      <w:r w:rsidR="002B1F7F">
        <w:rPr>
          <w:lang w:val="en-GB"/>
        </w:rPr>
        <w:t xml:space="preserve">adjustment </w:t>
      </w:r>
      <w:r w:rsidR="007913E6">
        <w:rPr>
          <w:lang w:val="en-GB"/>
        </w:rPr>
        <w:t xml:space="preserve">related to </w:t>
      </w:r>
      <w:r w:rsidR="007207E4">
        <w:rPr>
          <w:lang w:val="en-GB"/>
        </w:rPr>
        <w:t xml:space="preserve">operational </w:t>
      </w:r>
      <w:r w:rsidR="006D4313">
        <w:rPr>
          <w:lang w:val="en-GB"/>
        </w:rPr>
        <w:t xml:space="preserve">savings or </w:t>
      </w:r>
      <w:r w:rsidR="007207E4">
        <w:rPr>
          <w:lang w:val="en-GB"/>
        </w:rPr>
        <w:t>overspend</w:t>
      </w:r>
      <w:r w:rsidR="006D4313">
        <w:rPr>
          <w:lang w:val="en-GB"/>
        </w:rPr>
        <w:t xml:space="preserve"> for the </w:t>
      </w:r>
      <w:r w:rsidR="00AC3E19">
        <w:rPr>
          <w:lang w:val="en-GB"/>
        </w:rPr>
        <w:t>relevant</w:t>
      </w:r>
      <w:r w:rsidR="00D8650A">
        <w:rPr>
          <w:lang w:val="en-GB"/>
        </w:rPr>
        <w:t xml:space="preserve"> year.</w:t>
      </w:r>
      <w:r w:rsidR="007207E4">
        <w:rPr>
          <w:lang w:val="en-GB"/>
        </w:rPr>
        <w:t xml:space="preserve"> </w:t>
      </w:r>
      <w:r w:rsidR="00CB7334">
        <w:rPr>
          <w:lang w:val="en-GB"/>
        </w:rPr>
        <w:t xml:space="preserve">User </w:t>
      </w:r>
      <w:r w:rsidR="00E75CCA">
        <w:rPr>
          <w:lang w:val="en-GB"/>
        </w:rPr>
        <w:t>f</w:t>
      </w:r>
      <w:r w:rsidR="00714EDC" w:rsidRPr="00714EDC">
        <w:rPr>
          <w:lang w:val="en-GB"/>
        </w:rPr>
        <w:t xml:space="preserve">ees received within the scope of the cost recovery service that are </w:t>
      </w:r>
      <w:proofErr w:type="gramStart"/>
      <w:r w:rsidR="00714EDC" w:rsidRPr="00714EDC">
        <w:rPr>
          <w:lang w:val="en-GB"/>
        </w:rPr>
        <w:t>in excess of</w:t>
      </w:r>
      <w:proofErr w:type="gramEnd"/>
      <w:r w:rsidR="00714EDC" w:rsidRPr="00714EDC">
        <w:rPr>
          <w:lang w:val="en-GB"/>
        </w:rPr>
        <w:t xml:space="preserve"> the Actual Total</w:t>
      </w:r>
      <w:r w:rsidR="00714EDC">
        <w:rPr>
          <w:lang w:val="en-GB"/>
        </w:rPr>
        <w:t xml:space="preserve"> UPI</w:t>
      </w:r>
      <w:r w:rsidR="00714EDC" w:rsidRPr="00714EDC">
        <w:rPr>
          <w:lang w:val="en-GB"/>
        </w:rPr>
        <w:t xml:space="preserve"> Cost</w:t>
      </w:r>
      <w:r w:rsidR="00892CD6">
        <w:rPr>
          <w:lang w:val="en-GB"/>
        </w:rPr>
        <w:t xml:space="preserve">, referred to as </w:t>
      </w:r>
      <w:r w:rsidR="00714EDC" w:rsidRPr="00714EDC">
        <w:rPr>
          <w:lang w:val="en-GB"/>
        </w:rPr>
        <w:t>Excess Fee Income</w:t>
      </w:r>
      <w:r w:rsidR="00892CD6">
        <w:rPr>
          <w:lang w:val="en-GB"/>
        </w:rPr>
        <w:t>,</w:t>
      </w:r>
      <w:r w:rsidR="00714EDC" w:rsidRPr="00714EDC">
        <w:rPr>
          <w:lang w:val="en-GB"/>
        </w:rPr>
        <w:t xml:space="preserve"> will be used to reduce the </w:t>
      </w:r>
      <w:r w:rsidR="00714EDC">
        <w:rPr>
          <w:lang w:val="en-GB"/>
        </w:rPr>
        <w:t>Estimate</w:t>
      </w:r>
      <w:r w:rsidR="00610344">
        <w:rPr>
          <w:lang w:val="en-GB"/>
        </w:rPr>
        <w:t>d</w:t>
      </w:r>
      <w:r w:rsidR="00714EDC">
        <w:rPr>
          <w:lang w:val="en-GB"/>
        </w:rPr>
        <w:t xml:space="preserve"> </w:t>
      </w:r>
      <w:r w:rsidR="00714EDC" w:rsidRPr="00714EDC">
        <w:rPr>
          <w:lang w:val="en-GB"/>
        </w:rPr>
        <w:t xml:space="preserve">Total </w:t>
      </w:r>
      <w:r w:rsidR="00714EDC">
        <w:rPr>
          <w:lang w:val="en-GB"/>
        </w:rPr>
        <w:t>UPI</w:t>
      </w:r>
      <w:r w:rsidR="00714EDC" w:rsidRPr="00714EDC">
        <w:rPr>
          <w:lang w:val="en-GB"/>
        </w:rPr>
        <w:t xml:space="preserve"> Cost for the year following the audited financial accounts</w:t>
      </w:r>
      <w:r w:rsidR="00714EDC">
        <w:rPr>
          <w:lang w:val="en-GB"/>
        </w:rPr>
        <w:t>.</w:t>
      </w:r>
      <w:r w:rsidR="002934CF">
        <w:rPr>
          <w:lang w:val="en-GB"/>
        </w:rPr>
        <w:t xml:space="preserve"> </w:t>
      </w:r>
    </w:p>
    <w:p w14:paraId="0C5F1687" w14:textId="67E15141" w:rsidR="000535E5" w:rsidRDefault="0046315B" w:rsidP="007625FD">
      <w:pPr>
        <w:jc w:val="both"/>
        <w:rPr>
          <w:lang w:val="en-GB"/>
        </w:rPr>
      </w:pPr>
      <w:r>
        <w:rPr>
          <w:lang w:val="en-GB"/>
        </w:rPr>
        <w:t>Additionally, a</w:t>
      </w:r>
      <w:r w:rsidR="00543E4F">
        <w:rPr>
          <w:lang w:val="en-GB"/>
        </w:rPr>
        <w:t>ny unused UPI contingency funds will also feed into the cost adjustment mechanism</w:t>
      </w:r>
      <w:r>
        <w:rPr>
          <w:lang w:val="en-GB"/>
        </w:rPr>
        <w:t xml:space="preserve"> </w:t>
      </w:r>
      <w:r w:rsidR="000535E5">
        <w:rPr>
          <w:lang w:val="en-GB"/>
        </w:rPr>
        <w:t xml:space="preserve">as </w:t>
      </w:r>
      <w:r>
        <w:rPr>
          <w:lang w:val="en-GB"/>
        </w:rPr>
        <w:t xml:space="preserve">it falls within the </w:t>
      </w:r>
      <w:r w:rsidR="000535E5">
        <w:rPr>
          <w:lang w:val="en-GB"/>
        </w:rPr>
        <w:t xml:space="preserve">Estimated </w:t>
      </w:r>
      <w:r w:rsidR="000535E5" w:rsidRPr="00714EDC">
        <w:rPr>
          <w:lang w:val="en-GB"/>
        </w:rPr>
        <w:t xml:space="preserve">Total </w:t>
      </w:r>
      <w:r w:rsidR="000535E5">
        <w:rPr>
          <w:lang w:val="en-GB"/>
        </w:rPr>
        <w:t>UPI</w:t>
      </w:r>
      <w:r w:rsidR="000535E5" w:rsidRPr="00714EDC">
        <w:rPr>
          <w:lang w:val="en-GB"/>
        </w:rPr>
        <w:t xml:space="preserve"> Cost</w:t>
      </w:r>
      <w:r w:rsidR="000535E5">
        <w:rPr>
          <w:lang w:val="en-GB"/>
        </w:rPr>
        <w:t xml:space="preserve"> and will be audited as part of the </w:t>
      </w:r>
      <w:r w:rsidR="000535E5" w:rsidRPr="002934CF">
        <w:rPr>
          <w:lang w:val="en-GB"/>
        </w:rPr>
        <w:t xml:space="preserve">annual </w:t>
      </w:r>
      <w:r w:rsidR="000535E5">
        <w:rPr>
          <w:lang w:val="en-GB"/>
        </w:rPr>
        <w:t xml:space="preserve">statutory </w:t>
      </w:r>
      <w:r w:rsidR="000535E5" w:rsidRPr="002934CF">
        <w:rPr>
          <w:lang w:val="en-GB"/>
        </w:rPr>
        <w:t>financial accounts</w:t>
      </w:r>
      <w:r w:rsidR="00543E4F">
        <w:rPr>
          <w:lang w:val="en-GB"/>
        </w:rPr>
        <w:t xml:space="preserve">. </w:t>
      </w:r>
    </w:p>
    <w:p w14:paraId="59E6606F" w14:textId="77777777" w:rsidR="007625FD" w:rsidRDefault="007625FD" w:rsidP="007625FD">
      <w:pPr>
        <w:rPr>
          <w:lang w:val="en-GB"/>
        </w:rPr>
      </w:pPr>
    </w:p>
    <w:bookmarkStart w:id="125" w:name="_Ref83905210"/>
    <w:bookmarkStart w:id="126" w:name="_Toc86680485"/>
    <w:p w14:paraId="4A2E62C5" w14:textId="6466D493" w:rsidR="0008728C" w:rsidRPr="0008728C" w:rsidRDefault="007625FD" w:rsidP="0008728C">
      <w:pPr>
        <w:pStyle w:val="Heading2"/>
        <w:spacing w:before="0" w:line="276" w:lineRule="auto"/>
      </w:pPr>
      <w:r>
        <w:rPr>
          <w:noProof/>
          <w:lang w:eastAsia="en-GB"/>
        </w:rPr>
        <mc:AlternateContent>
          <mc:Choice Requires="wps">
            <w:drawing>
              <wp:anchor distT="45720" distB="45720" distL="114300" distR="114300" simplePos="0" relativeHeight="251658248" behindDoc="0" locked="0" layoutInCell="1" allowOverlap="1" wp14:anchorId="77A3044C" wp14:editId="3A200D50">
                <wp:simplePos x="0" y="0"/>
                <wp:positionH relativeFrom="margin">
                  <wp:posOffset>24765</wp:posOffset>
                </wp:positionH>
                <wp:positionV relativeFrom="paragraph">
                  <wp:posOffset>307734</wp:posOffset>
                </wp:positionV>
                <wp:extent cx="5716905" cy="1404620"/>
                <wp:effectExtent l="0" t="0" r="17145" b="152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rgbClr val="FFFFFF"/>
                        </a:solidFill>
                        <a:ln w="9525">
                          <a:solidFill>
                            <a:srgbClr val="04AEB9"/>
                          </a:solidFill>
                          <a:miter lim="800000"/>
                          <a:headEnd/>
                          <a:tailEnd/>
                        </a:ln>
                      </wps:spPr>
                      <wps:txbx>
                        <w:txbxContent>
                          <w:p w14:paraId="4DFB81E4"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44B2F599" w14:textId="77777777" w:rsidR="007625FD" w:rsidRPr="00D367BD" w:rsidRDefault="007625FD" w:rsidP="002E73D3">
                            <w:pPr>
                              <w:jc w:val="both"/>
                              <w:rPr>
                                <w:rStyle w:val="normaltextrun"/>
                              </w:rPr>
                            </w:pPr>
                            <w:r>
                              <w:rPr>
                                <w:lang w:val="en-GB"/>
                              </w:rPr>
                              <w:t>The existing protections relating to Intellectual Property and Limitation of Liability will be extended to cover the UPI Service, and an equivalent set of measures included in the contractual information for the COSP.</w:t>
                            </w:r>
                          </w:p>
                          <w:p w14:paraId="2084CC65" w14:textId="77777777" w:rsidR="007625FD" w:rsidRDefault="007625FD" w:rsidP="002E73D3">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12a: </w:t>
                            </w:r>
                            <w:r w:rsidRPr="00C208E5">
                              <w:rPr>
                                <w:rStyle w:val="normaltextrun"/>
                                <w:rFonts w:cstheme="minorHAnsi"/>
                                <w:b/>
                                <w:bCs/>
                                <w:i/>
                                <w:iCs/>
                                <w:color w:val="000000"/>
                              </w:rPr>
                              <w:t>Do you agree that it is appropriate to extend the clauses relating to Intellectual Property and Limitation of Liability to</w:t>
                            </w:r>
                            <w:r>
                              <w:rPr>
                                <w:rStyle w:val="normaltextrun"/>
                                <w:rFonts w:cstheme="minorHAnsi"/>
                                <w:b/>
                                <w:bCs/>
                                <w:color w:val="000000"/>
                              </w:rPr>
                              <w:t xml:space="preserve"> </w:t>
                            </w:r>
                            <w:r w:rsidRPr="00C208E5">
                              <w:rPr>
                                <w:rStyle w:val="normaltextrun"/>
                                <w:rFonts w:cstheme="minorHAnsi"/>
                                <w:b/>
                                <w:bCs/>
                                <w:i/>
                                <w:iCs/>
                                <w:color w:val="000000"/>
                              </w:rPr>
                              <w:t>the UPI Service</w:t>
                            </w:r>
                            <w:r>
                              <w:rPr>
                                <w:rStyle w:val="normaltextrun"/>
                                <w:rFonts w:cstheme="minorHAnsi"/>
                                <w:b/>
                                <w:bCs/>
                                <w:i/>
                                <w:iCs/>
                                <w:color w:val="000000"/>
                              </w:rPr>
                              <w:t>, in the appropriate documentation?</w:t>
                            </w:r>
                          </w:p>
                          <w:p w14:paraId="21A2020E" w14:textId="77777777" w:rsidR="007625FD" w:rsidRPr="00471A99" w:rsidRDefault="007625FD" w:rsidP="002E73D3">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12b: </w:t>
                            </w:r>
                            <w:r>
                              <w:rPr>
                                <w:rStyle w:val="normaltextrun"/>
                                <w:rFonts w:cstheme="minorHAnsi"/>
                                <w:b/>
                                <w:bCs/>
                                <w:i/>
                                <w:iCs/>
                                <w:color w:val="000000"/>
                              </w:rPr>
                              <w:t xml:space="preserve">If not, </w:t>
                            </w:r>
                            <w:r w:rsidRPr="000B0101">
                              <w:rPr>
                                <w:rStyle w:val="normaltextrun"/>
                                <w:rFonts w:cstheme="minorHAnsi"/>
                                <w:b/>
                                <w:i/>
                                <w:color w:val="000000"/>
                              </w:rPr>
                              <w:t>what specific alternate approach do you recommend? Please provide a clear and objective rationale for each alternate approach you recommend.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A3044C" id="_x0000_s1038" type="#_x0000_t202" style="position:absolute;left:0;text-align:left;margin-left:1.95pt;margin-top:24.25pt;width:450.15pt;height:110.6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" strokecolor="#04aeb9">
                <v:textbox style="mso-fit-shape-to-text:t">
                  <w:txbxContent>
                    <w:p w14:paraId="4DFB81E4" w14:textId="77777777" w:rsidR="007625FD" w:rsidRDefault="007625FD" w:rsidP="007625FD">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44B2F599" w14:textId="77777777" w:rsidR="007625FD" w:rsidRPr="00D367BD" w:rsidRDefault="007625FD" w:rsidP="002E73D3">
                      <w:pPr>
                        <w:jc w:val="both"/>
                        <w:rPr>
                          <w:rStyle w:val="normaltextrun"/>
                        </w:rPr>
                      </w:pPr>
                      <w:r>
                        <w:rPr>
                          <w:lang w:val="en-GB"/>
                        </w:rPr>
                        <w:t>The existing protections relating to Intellectual Property and Limitation of Liability will be extended to cover the UPI Service, and an equivalent set of measures included in the contractual information for the COSP.</w:t>
                      </w:r>
                    </w:p>
                    <w:p w14:paraId="2084CC65" w14:textId="77777777" w:rsidR="007625FD" w:rsidRDefault="007625FD" w:rsidP="002E73D3">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12a: </w:t>
                      </w:r>
                      <w:r w:rsidRPr="00C208E5">
                        <w:rPr>
                          <w:rStyle w:val="normaltextrun"/>
                          <w:rFonts w:cstheme="minorHAnsi"/>
                          <w:b/>
                          <w:bCs/>
                          <w:i/>
                          <w:iCs/>
                          <w:color w:val="000000"/>
                        </w:rPr>
                        <w:t>Do you agree that it is appropriate to extend the clauses relating to Intellectual Property and Limitation of Liability to</w:t>
                      </w:r>
                      <w:r>
                        <w:rPr>
                          <w:rStyle w:val="normaltextrun"/>
                          <w:rFonts w:cstheme="minorHAnsi"/>
                          <w:b/>
                          <w:bCs/>
                          <w:color w:val="000000"/>
                        </w:rPr>
                        <w:t xml:space="preserve"> </w:t>
                      </w:r>
                      <w:r w:rsidRPr="00C208E5">
                        <w:rPr>
                          <w:rStyle w:val="normaltextrun"/>
                          <w:rFonts w:cstheme="minorHAnsi"/>
                          <w:b/>
                          <w:bCs/>
                          <w:i/>
                          <w:iCs/>
                          <w:color w:val="000000"/>
                        </w:rPr>
                        <w:t>the UPI Service</w:t>
                      </w:r>
                      <w:r>
                        <w:rPr>
                          <w:rStyle w:val="normaltextrun"/>
                          <w:rFonts w:cstheme="minorHAnsi"/>
                          <w:b/>
                          <w:bCs/>
                          <w:i/>
                          <w:iCs/>
                          <w:color w:val="000000"/>
                        </w:rPr>
                        <w:t>, in the appropriate documentation?</w:t>
                      </w:r>
                    </w:p>
                    <w:p w14:paraId="21A2020E" w14:textId="77777777" w:rsidR="007625FD" w:rsidRPr="00471A99" w:rsidRDefault="007625FD" w:rsidP="002E73D3">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12b: </w:t>
                      </w:r>
                      <w:r>
                        <w:rPr>
                          <w:rStyle w:val="normaltextrun"/>
                          <w:rFonts w:cstheme="minorHAnsi"/>
                          <w:b/>
                          <w:bCs/>
                          <w:i/>
                          <w:iCs/>
                          <w:color w:val="000000"/>
                        </w:rPr>
                        <w:t xml:space="preserve">If not, </w:t>
                      </w:r>
                      <w:r w:rsidRPr="000B0101">
                        <w:rPr>
                          <w:rStyle w:val="normaltextrun"/>
                          <w:rFonts w:cstheme="minorHAnsi"/>
                          <w:b/>
                          <w:i/>
                          <w:color w:val="000000"/>
                        </w:rPr>
                        <w:t>what specific alternate approach do you recommend? Please provide a clear and objective rationale for each alternate approach you recommend.</w:t>
                      </w:r>
                    </w:p>
                  </w:txbxContent>
                </v:textbox>
                <w10:wrap type="square" anchorx="margin"/>
              </v:shape>
            </w:pict>
          </mc:Fallback>
        </mc:AlternateContent>
      </w:r>
      <w:r>
        <w:t>Q12 – Intellectual Property &amp; Limitation of Liability</w:t>
      </w:r>
      <w:bookmarkEnd w:id="125"/>
      <w:bookmarkEnd w:id="126"/>
    </w:p>
    <w:p w14:paraId="22D547B2" w14:textId="77777777" w:rsidR="007625FD" w:rsidRDefault="007625FD" w:rsidP="007625FD">
      <w:pPr>
        <w:jc w:val="both"/>
        <w:rPr>
          <w:b/>
          <w:bCs/>
          <w:u w:val="single"/>
        </w:rPr>
      </w:pPr>
    </w:p>
    <w:p w14:paraId="3A4E503E" w14:textId="77777777" w:rsidR="00CE42F2" w:rsidRDefault="00CE42F2" w:rsidP="00CE42F2">
      <w:pPr>
        <w:jc w:val="both"/>
        <w:rPr>
          <w:b/>
          <w:bCs/>
          <w:u w:val="single"/>
        </w:rPr>
      </w:pPr>
      <w:r>
        <w:rPr>
          <w:b/>
          <w:bCs/>
          <w:u w:val="single"/>
        </w:rPr>
        <w:t>Supporting information:</w:t>
      </w:r>
    </w:p>
    <w:p w14:paraId="69693735" w14:textId="49F7147D" w:rsidR="00CE42F2" w:rsidRDefault="00CE42F2" w:rsidP="00CE42F2">
      <w:pPr>
        <w:jc w:val="both"/>
      </w:pPr>
      <w:r>
        <w:t xml:space="preserve">In terms of Intellectual Property, the current DSB Access </w:t>
      </w:r>
      <w:r w:rsidR="00992458">
        <w:t>and</w:t>
      </w:r>
      <w:r>
        <w:t xml:space="preserve"> Usage Agreement states that:</w:t>
      </w:r>
    </w:p>
    <w:p w14:paraId="0477E08C" w14:textId="0C3F9FEA" w:rsidR="00CE42F2" w:rsidRDefault="00CE42F2" w:rsidP="00CE42F2">
      <w:pPr>
        <w:jc w:val="both"/>
      </w:pPr>
      <w:r>
        <w:t>“</w:t>
      </w:r>
      <w:r w:rsidRPr="00CE6148">
        <w:t xml:space="preserve">All Intellectual Property Rights relating to the DSB Service (including the Data) or made available by the DSB to enable access to the DSB Service as well as any data and information in any form whatsoever made available by the DSB in connection with this Agreement will remain vested in the DSB or its licensors (the “DSB Intellectual Property”) and the </w:t>
      </w:r>
      <w:r w:rsidRPr="00CE6148" w:rsidDel="00D3207B">
        <w:t>User</w:t>
      </w:r>
      <w:r w:rsidRPr="00CE6148">
        <w:t xml:space="preserve">, Affiliates or End </w:t>
      </w:r>
      <w:r>
        <w:t>User</w:t>
      </w:r>
      <w:r w:rsidRPr="00CE6148">
        <w:t>s shall not acquire any Intellectual Property Rights in or to the DSB Intellectual Property</w:t>
      </w:r>
      <w:r>
        <w:t>” and that “</w:t>
      </w:r>
      <w:r w:rsidRPr="002E423E">
        <w:t xml:space="preserve">Subject to the other provisions of this clause 8, the </w:t>
      </w:r>
      <w:r w:rsidRPr="002E423E">
        <w:lastRenderedPageBreak/>
        <w:t xml:space="preserve">User Policy and Acceptable Use Policy, the DSB grants the User and its Affiliates a revocable, non-exclusive </w:t>
      </w:r>
      <w:proofErr w:type="spellStart"/>
      <w:r w:rsidRPr="002E423E">
        <w:t>licence</w:t>
      </w:r>
      <w:proofErr w:type="spellEnd"/>
      <w:r w:rsidRPr="002E423E">
        <w:t xml:space="preserve"> to access, copy, reproduce, store, distribute, disclose or otherwise communicate the Data.</w:t>
      </w:r>
      <w:r>
        <w:t xml:space="preserve">” </w:t>
      </w:r>
    </w:p>
    <w:p w14:paraId="05EE0ABE" w14:textId="77777777" w:rsidR="00CE42F2" w:rsidRPr="0013265E" w:rsidRDefault="00CE42F2" w:rsidP="00CE42F2">
      <w:pPr>
        <w:jc w:val="both"/>
      </w:pPr>
      <w:r>
        <w:t>Specifically:</w:t>
      </w:r>
    </w:p>
    <w:p w14:paraId="181ED120" w14:textId="77777777" w:rsidR="00CE42F2" w:rsidRPr="0013265E" w:rsidRDefault="00CE42F2" w:rsidP="00CE42F2">
      <w:pPr>
        <w:pStyle w:val="ListParagraph"/>
        <w:numPr>
          <w:ilvl w:val="0"/>
          <w:numId w:val="16"/>
        </w:numPr>
        <w:autoSpaceDE/>
        <w:autoSpaceDN/>
        <w:adjustRightInd/>
        <w:spacing w:before="0" w:after="160" w:line="259" w:lineRule="auto"/>
        <w:ind w:left="357" w:right="0" w:hanging="357"/>
        <w:jc w:val="both"/>
        <w:rPr>
          <w:sz w:val="22"/>
          <w:szCs w:val="22"/>
        </w:rPr>
      </w:pPr>
      <w:r w:rsidRPr="0013265E">
        <w:rPr>
          <w:sz w:val="22"/>
          <w:szCs w:val="22"/>
        </w:rPr>
        <w:t xml:space="preserve">The current DSB User Policy states that “A User and its Affiliates and any End Users, may distribute the Data, including Power User Data, to any third party to the extent necessary to trade, clear, settle, administer or report the User’s or its Affiliates Over-the-Counter Derivatives transactions.”. </w:t>
      </w:r>
    </w:p>
    <w:p w14:paraId="714971A5" w14:textId="7580AAD5" w:rsidR="00CE42F2" w:rsidRPr="0013265E" w:rsidRDefault="00CE42F2" w:rsidP="00CE42F2">
      <w:pPr>
        <w:pStyle w:val="ListParagraph"/>
        <w:numPr>
          <w:ilvl w:val="0"/>
          <w:numId w:val="16"/>
        </w:numPr>
        <w:autoSpaceDE/>
        <w:autoSpaceDN/>
        <w:adjustRightInd/>
        <w:spacing w:before="0" w:after="160" w:line="259" w:lineRule="auto"/>
        <w:ind w:left="357" w:right="0" w:hanging="357"/>
        <w:jc w:val="both"/>
        <w:rPr>
          <w:sz w:val="22"/>
          <w:szCs w:val="22"/>
        </w:rPr>
      </w:pPr>
      <w:r w:rsidRPr="0013265E">
        <w:rPr>
          <w:sz w:val="22"/>
          <w:szCs w:val="22"/>
        </w:rPr>
        <w:t xml:space="preserve">The current DSB Acceptable Use Policy (AUP) notes that the DSB Service and Data may include third-party data, with reference to the specific data elements that are subject to additional provisions relating to such third-party data. Further, the policy notes that “Each User may access and use Third Party Data contained within the DSB Service solely and exclusively as part of the Data in this Agreement and may not use such </w:t>
      </w:r>
      <w:r w:rsidR="00470F4B" w:rsidRPr="0013265E">
        <w:rPr>
          <w:sz w:val="22"/>
          <w:szCs w:val="22"/>
        </w:rPr>
        <w:t>Third-Party</w:t>
      </w:r>
      <w:r w:rsidRPr="0013265E">
        <w:rPr>
          <w:sz w:val="22"/>
          <w:szCs w:val="22"/>
        </w:rPr>
        <w:t xml:space="preserve"> Data for any purpose other than for the identification of any associated ISIN. Users who wish to: (a) manipulate, extract or strip-out the </w:t>
      </w:r>
      <w:r w:rsidR="00470F4B" w:rsidRPr="0013265E">
        <w:rPr>
          <w:sz w:val="22"/>
          <w:szCs w:val="22"/>
        </w:rPr>
        <w:t>Third-Party</w:t>
      </w:r>
      <w:r w:rsidRPr="0013265E">
        <w:rPr>
          <w:sz w:val="22"/>
          <w:szCs w:val="22"/>
        </w:rPr>
        <w:t xml:space="preserve"> Data from the Data; (b) use the </w:t>
      </w:r>
      <w:r w:rsidR="002D6F77" w:rsidRPr="0013265E">
        <w:rPr>
          <w:sz w:val="22"/>
          <w:szCs w:val="22"/>
        </w:rPr>
        <w:t>Third-Party</w:t>
      </w:r>
      <w:r w:rsidRPr="0013265E">
        <w:rPr>
          <w:sz w:val="22"/>
          <w:szCs w:val="22"/>
        </w:rPr>
        <w:t xml:space="preserve"> Data for any purpose other than the identification of any associated ISIN or to identify or map non-ISIN identifiers must, in each case, have in place direct </w:t>
      </w:r>
      <w:proofErr w:type="spellStart"/>
      <w:r w:rsidRPr="0013265E">
        <w:rPr>
          <w:sz w:val="22"/>
          <w:szCs w:val="22"/>
        </w:rPr>
        <w:t>licence</w:t>
      </w:r>
      <w:proofErr w:type="spellEnd"/>
      <w:r w:rsidRPr="0013265E">
        <w:rPr>
          <w:sz w:val="22"/>
          <w:szCs w:val="22"/>
        </w:rPr>
        <w:t xml:space="preserve"> with the relevant </w:t>
      </w:r>
      <w:r w:rsidR="007D34A8" w:rsidRPr="0013265E">
        <w:rPr>
          <w:sz w:val="22"/>
          <w:szCs w:val="22"/>
        </w:rPr>
        <w:t>third-party</w:t>
      </w:r>
      <w:r w:rsidRPr="0013265E">
        <w:rPr>
          <w:sz w:val="22"/>
          <w:szCs w:val="22"/>
        </w:rPr>
        <w:t xml:space="preserve"> provider before such use.” The AUP also notes that “The DSB shall update paragraph 3 from time to time and shall notify the User of any updates in accordance with clause 1.2(b) of the Main Terms. Breach of the </w:t>
      </w:r>
      <w:r w:rsidR="00470F4B" w:rsidRPr="0013265E">
        <w:rPr>
          <w:sz w:val="22"/>
          <w:szCs w:val="22"/>
        </w:rPr>
        <w:t>Third-Party</w:t>
      </w:r>
      <w:r w:rsidRPr="0013265E">
        <w:rPr>
          <w:sz w:val="22"/>
          <w:szCs w:val="22"/>
        </w:rPr>
        <w:t xml:space="preserve"> Data provisions in this document will be treated as a severe breach of this AUP.” </w:t>
      </w:r>
    </w:p>
    <w:p w14:paraId="2999A98C" w14:textId="77777777" w:rsidR="00CE42F2" w:rsidRDefault="00CE42F2" w:rsidP="002E73D3">
      <w:pPr>
        <w:jc w:val="both"/>
      </w:pPr>
      <w:r>
        <w:t xml:space="preserve">The DSB is working with data vendors to source alternate underlying identifiers in the creation and search of UPIs (to fulfil regulatory requirements) following a well-publicized RFI undertaken in 2021. The DSB will present the results of the RFI to the industry representation groups, the regulators and the DSB Board and an update will be provided in due course, </w:t>
      </w:r>
      <w:r w:rsidRPr="00772F7C">
        <w:t xml:space="preserve">as </w:t>
      </w:r>
      <w:r>
        <w:t xml:space="preserve">additional </w:t>
      </w:r>
      <w:r w:rsidRPr="00772F7C">
        <w:t xml:space="preserve">information </w:t>
      </w:r>
      <w:r>
        <w:t xml:space="preserve">becomes </w:t>
      </w:r>
      <w:r w:rsidRPr="00772F7C">
        <w:t>available.</w:t>
      </w:r>
    </w:p>
    <w:p w14:paraId="070A3B33" w14:textId="26D9CC23" w:rsidR="00CE42F2" w:rsidRPr="00CE6148" w:rsidRDefault="00CE42F2" w:rsidP="00FF1CF4">
      <w:pPr>
        <w:jc w:val="both"/>
      </w:pPr>
      <w:r>
        <w:t xml:space="preserve">The current DSB Access </w:t>
      </w:r>
      <w:r w:rsidR="00992458">
        <w:t>and</w:t>
      </w:r>
      <w:r>
        <w:t xml:space="preserve"> Usage Agreement also includes multiple clauses relating to the ‘Limitation of Liability’, for example relating to </w:t>
      </w:r>
      <w:r w:rsidRPr="0097669D">
        <w:t>any Losses arising out of or in connection with the DSB Service</w:t>
      </w:r>
      <w:r>
        <w:t>. There are further references to this subject housed within other policies, including the DSB GUI General Terms.</w:t>
      </w:r>
    </w:p>
    <w:p w14:paraId="2E8DD71D" w14:textId="77777777" w:rsidR="00CE42F2" w:rsidRDefault="00CE42F2">
      <w:pPr>
        <w:jc w:val="both"/>
        <w:rPr>
          <w:b/>
          <w:bCs/>
          <w:u w:val="single"/>
        </w:rPr>
      </w:pPr>
      <w:r>
        <w:rPr>
          <w:b/>
          <w:bCs/>
          <w:u w:val="single"/>
        </w:rPr>
        <w:t>DSB Proposal</w:t>
      </w:r>
      <w:r w:rsidRPr="00623841">
        <w:rPr>
          <w:b/>
          <w:bCs/>
          <w:u w:val="single"/>
        </w:rPr>
        <w:t>:</w:t>
      </w:r>
    </w:p>
    <w:p w14:paraId="1282473C" w14:textId="29625F9F" w:rsidR="00CE42F2" w:rsidRDefault="00CE42F2" w:rsidP="002E73D3">
      <w:pPr>
        <w:jc w:val="both"/>
        <w:rPr>
          <w:lang w:val="en-GB"/>
        </w:rPr>
      </w:pPr>
      <w:r>
        <w:rPr>
          <w:lang w:val="en-GB"/>
        </w:rPr>
        <w:t xml:space="preserve">These existing protections relating to Intellectual Property and Limitation of Liability will be extended to cover the UPI Service, and an equivalent set of measures included in the contractual information for the COSP. This is </w:t>
      </w:r>
      <w:r w:rsidR="006C30C7">
        <w:rPr>
          <w:lang w:val="en-GB"/>
        </w:rPr>
        <w:t>to</w:t>
      </w:r>
      <w:r>
        <w:rPr>
          <w:lang w:val="en-GB"/>
        </w:rPr>
        <w:t xml:space="preserve"> </w:t>
      </w:r>
      <w:r>
        <w:t>ensure the O</w:t>
      </w:r>
      <w:r w:rsidRPr="009164C6">
        <w:t xml:space="preserve">perational </w:t>
      </w:r>
      <w:r>
        <w:t>V</w:t>
      </w:r>
      <w:r w:rsidRPr="009164C6">
        <w:t xml:space="preserve">iability and </w:t>
      </w:r>
      <w:r>
        <w:t>C</w:t>
      </w:r>
      <w:r w:rsidRPr="009164C6">
        <w:t xml:space="preserve">ontinuity of UPI Service Provider </w:t>
      </w:r>
      <w:r>
        <w:t>O</w:t>
      </w:r>
      <w:r w:rsidRPr="009164C6">
        <w:t>perations</w:t>
      </w:r>
      <w:r>
        <w:rPr>
          <w:lang w:val="en-GB"/>
        </w:rPr>
        <w:t xml:space="preserve"> as specified in the Governance Criteria.</w:t>
      </w:r>
    </w:p>
    <w:p w14:paraId="69094BC5" w14:textId="77777777" w:rsidR="007625FD" w:rsidRDefault="007625FD" w:rsidP="007625FD">
      <w:pPr>
        <w:rPr>
          <w:lang w:val="en-GB"/>
        </w:rPr>
      </w:pPr>
    </w:p>
    <w:p w14:paraId="3A37B69F" w14:textId="77777777" w:rsidR="0008728C" w:rsidRDefault="0008728C" w:rsidP="007625FD">
      <w:pPr>
        <w:rPr>
          <w:lang w:val="en-GB"/>
        </w:rPr>
      </w:pPr>
    </w:p>
    <w:p w14:paraId="0E219B89" w14:textId="77777777" w:rsidR="0008728C" w:rsidRDefault="0008728C" w:rsidP="007625FD">
      <w:pPr>
        <w:rPr>
          <w:lang w:val="en-GB"/>
        </w:rPr>
      </w:pPr>
    </w:p>
    <w:p w14:paraId="7B6E5495" w14:textId="77777777" w:rsidR="0008728C" w:rsidRDefault="0008728C" w:rsidP="007625FD">
      <w:pPr>
        <w:rPr>
          <w:lang w:val="en-GB"/>
        </w:rPr>
      </w:pPr>
    </w:p>
    <w:p w14:paraId="24ACBE2D" w14:textId="25D17DDA" w:rsidR="007625FD" w:rsidRDefault="00525101" w:rsidP="007625FD">
      <w:pPr>
        <w:pStyle w:val="Heading2"/>
        <w:spacing w:before="0" w:line="276" w:lineRule="auto"/>
      </w:pPr>
      <w:bookmarkStart w:id="127" w:name="_Toc86680486"/>
      <w:r>
        <w:lastRenderedPageBreak/>
        <w:t xml:space="preserve">Q13 - </w:t>
      </w:r>
      <w:r w:rsidR="007625FD">
        <w:t>Contingency Arrangements</w:t>
      </w:r>
      <w:bookmarkEnd w:id="127"/>
      <w:r w:rsidR="007625FD">
        <w:t xml:space="preserve"> </w:t>
      </w:r>
    </w:p>
    <w:p w14:paraId="2AD92211" w14:textId="19F1560D" w:rsidR="0008728C" w:rsidRDefault="0008728C" w:rsidP="0008728C">
      <w:pPr>
        <w:jc w:val="both"/>
        <w:rPr>
          <w:b/>
          <w:bCs/>
          <w:u w:val="single"/>
        </w:rPr>
      </w:pPr>
      <w:r>
        <w:rPr>
          <w:noProof/>
          <w:lang w:eastAsia="en-GB"/>
        </w:rPr>
        <mc:AlternateContent>
          <mc:Choice Requires="wps">
            <w:drawing>
              <wp:anchor distT="45720" distB="45720" distL="114300" distR="114300" simplePos="0" relativeHeight="251658253" behindDoc="0" locked="0" layoutInCell="1" allowOverlap="1" wp14:anchorId="5A7EF0C9" wp14:editId="52E83479">
                <wp:simplePos x="0" y="0"/>
                <wp:positionH relativeFrom="margin">
                  <wp:posOffset>0</wp:posOffset>
                </wp:positionH>
                <wp:positionV relativeFrom="paragraph">
                  <wp:posOffset>369570</wp:posOffset>
                </wp:positionV>
                <wp:extent cx="5716905" cy="1404620"/>
                <wp:effectExtent l="0" t="0" r="17145"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rgbClr val="FFFFFF"/>
                        </a:solidFill>
                        <a:ln w="9525">
                          <a:solidFill>
                            <a:srgbClr val="04AEB9"/>
                          </a:solidFill>
                          <a:miter lim="800000"/>
                          <a:headEnd/>
                          <a:tailEnd/>
                        </a:ln>
                      </wps:spPr>
                      <wps:txbx>
                        <w:txbxContent>
                          <w:p w14:paraId="72F4E7EB" w14:textId="77777777" w:rsidR="0008728C" w:rsidRDefault="0008728C" w:rsidP="0008728C">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38720F3E" w14:textId="16CFFACB" w:rsidR="0008728C" w:rsidRDefault="0053594D" w:rsidP="002E73D3">
                            <w:pPr>
                              <w:jc w:val="both"/>
                              <w:rPr>
                                <w:lang w:val="en-GB"/>
                              </w:rPr>
                            </w:pPr>
                            <w:r>
                              <w:t xml:space="preserve">The </w:t>
                            </w:r>
                            <w:r w:rsidR="00700CC4">
                              <w:t xml:space="preserve">DSB </w:t>
                            </w:r>
                            <w:proofErr w:type="spellStart"/>
                            <w:r w:rsidR="00700CC4">
                              <w:t>recognises</w:t>
                            </w:r>
                            <w:proofErr w:type="spellEnd"/>
                            <w:r w:rsidR="00700CC4">
                              <w:t xml:space="preserve"> the need for contingency arrangements to cater for the exceptional </w:t>
                            </w:r>
                            <w:r>
                              <w:t>scenario of transfer of the UPI Service to another Service Provider</w:t>
                            </w:r>
                            <w:r w:rsidDel="0053594D">
                              <w:rPr>
                                <w:lang w:val="en-GB"/>
                              </w:rPr>
                              <w:t xml:space="preserve"> </w:t>
                            </w:r>
                            <w:r w:rsidR="001F151F">
                              <w:rPr>
                                <w:lang w:val="en-GB"/>
                              </w:rPr>
                              <w:t>e.g.,</w:t>
                            </w:r>
                            <w:r>
                              <w:rPr>
                                <w:lang w:val="en-GB"/>
                              </w:rPr>
                              <w:t xml:space="preserve"> linked to de-designation of the DSB. </w:t>
                            </w:r>
                          </w:p>
                          <w:p w14:paraId="7594E730" w14:textId="50340274" w:rsidR="0053594D" w:rsidRPr="002E73D3" w:rsidRDefault="0053594D" w:rsidP="002E73D3">
                            <w:pPr>
                              <w:jc w:val="both"/>
                              <w:rPr>
                                <w:rStyle w:val="normaltextrun"/>
                                <w:lang w:val="en-GB"/>
                              </w:rPr>
                            </w:pPr>
                            <w:r>
                              <w:rPr>
                                <w:lang w:val="en-GB"/>
                              </w:rPr>
                              <w:t xml:space="preserve">The DSB’s legal documentation will be updated to include </w:t>
                            </w:r>
                            <w:r w:rsidR="00700CC4">
                              <w:rPr>
                                <w:lang w:val="en-GB"/>
                              </w:rPr>
                              <w:t>explicit pr</w:t>
                            </w:r>
                            <w:r w:rsidR="00FD4513">
                              <w:rPr>
                                <w:lang w:val="en-GB"/>
                              </w:rPr>
                              <w:t>o</w:t>
                            </w:r>
                            <w:r w:rsidR="00700CC4">
                              <w:rPr>
                                <w:lang w:val="en-GB"/>
                              </w:rPr>
                              <w:t>vision(s)</w:t>
                            </w:r>
                            <w:r>
                              <w:rPr>
                                <w:lang w:val="en-GB"/>
                              </w:rPr>
                              <w:t xml:space="preserve"> that give the DSB permission to transfer this client data to </w:t>
                            </w:r>
                            <w:r w:rsidR="00C70F0E">
                              <w:rPr>
                                <w:lang w:val="en-GB"/>
                              </w:rPr>
                              <w:t>a</w:t>
                            </w:r>
                            <w:r>
                              <w:rPr>
                                <w:lang w:val="en-GB"/>
                              </w:rPr>
                              <w:t xml:space="preserve"> new </w:t>
                            </w:r>
                            <w:r w:rsidR="00C70F0E">
                              <w:rPr>
                                <w:lang w:val="en-GB"/>
                              </w:rPr>
                              <w:t xml:space="preserve">UPI </w:t>
                            </w:r>
                            <w:r>
                              <w:rPr>
                                <w:lang w:val="en-GB"/>
                              </w:rPr>
                              <w:t>Service Provider in a contingency scenario.</w:t>
                            </w:r>
                          </w:p>
                          <w:p w14:paraId="0ABF9485" w14:textId="3B600BE1" w:rsidR="0008728C" w:rsidRDefault="0008728C" w:rsidP="002E73D3">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1</w:t>
                            </w:r>
                            <w:r w:rsidR="0053594D">
                              <w:rPr>
                                <w:rStyle w:val="normaltextrun"/>
                                <w:rFonts w:cstheme="minorHAnsi"/>
                                <w:b/>
                                <w:bCs/>
                                <w:color w:val="000000"/>
                              </w:rPr>
                              <w:t>3</w:t>
                            </w:r>
                            <w:r>
                              <w:rPr>
                                <w:rStyle w:val="normaltextrun"/>
                                <w:rFonts w:cstheme="minorHAnsi"/>
                                <w:b/>
                                <w:bCs/>
                                <w:color w:val="000000"/>
                              </w:rPr>
                              <w:t xml:space="preserve">a: </w:t>
                            </w:r>
                            <w:r w:rsidRPr="00C208E5">
                              <w:rPr>
                                <w:rStyle w:val="normaltextrun"/>
                                <w:rFonts w:cstheme="minorHAnsi"/>
                                <w:b/>
                                <w:bCs/>
                                <w:i/>
                                <w:iCs/>
                                <w:color w:val="000000"/>
                              </w:rPr>
                              <w:t xml:space="preserve">Do you agree that it is appropriate to </w:t>
                            </w:r>
                            <w:r w:rsidR="0053594D">
                              <w:rPr>
                                <w:rStyle w:val="normaltextrun"/>
                                <w:rFonts w:cstheme="minorHAnsi"/>
                                <w:b/>
                                <w:bCs/>
                                <w:i/>
                                <w:iCs/>
                                <w:color w:val="000000"/>
                              </w:rPr>
                              <w:t>include new clause(s) to permit the DSB to transfer client data in the case of a contingency scenario</w:t>
                            </w:r>
                            <w:r>
                              <w:rPr>
                                <w:rStyle w:val="normaltextrun"/>
                                <w:rFonts w:cstheme="minorHAnsi"/>
                                <w:b/>
                                <w:bCs/>
                                <w:i/>
                                <w:iCs/>
                                <w:color w:val="000000"/>
                              </w:rPr>
                              <w:t>?</w:t>
                            </w:r>
                          </w:p>
                          <w:p w14:paraId="72B1615E" w14:textId="6EB496DE" w:rsidR="0008728C" w:rsidRPr="00471A99" w:rsidRDefault="0008728C" w:rsidP="002E73D3">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1</w:t>
                            </w:r>
                            <w:r w:rsidR="0053594D">
                              <w:rPr>
                                <w:rStyle w:val="normaltextrun"/>
                                <w:rFonts w:cstheme="minorHAnsi"/>
                                <w:b/>
                                <w:bCs/>
                                <w:color w:val="000000"/>
                              </w:rPr>
                              <w:t>3</w:t>
                            </w:r>
                            <w:r>
                              <w:rPr>
                                <w:rStyle w:val="normaltextrun"/>
                                <w:rFonts w:cstheme="minorHAnsi"/>
                                <w:b/>
                                <w:bCs/>
                                <w:color w:val="000000"/>
                              </w:rPr>
                              <w:t xml:space="preserve">b: </w:t>
                            </w:r>
                            <w:r>
                              <w:rPr>
                                <w:rStyle w:val="normaltextrun"/>
                                <w:rFonts w:cstheme="minorHAnsi"/>
                                <w:b/>
                                <w:bCs/>
                                <w:i/>
                                <w:iCs/>
                                <w:color w:val="000000"/>
                              </w:rPr>
                              <w:t xml:space="preserve">If not, </w:t>
                            </w:r>
                            <w:r w:rsidRPr="000B0101">
                              <w:rPr>
                                <w:rStyle w:val="normaltextrun"/>
                                <w:rFonts w:cstheme="minorHAnsi"/>
                                <w:b/>
                                <w:i/>
                                <w:color w:val="000000"/>
                              </w:rPr>
                              <w:t>what specific alternate approach do you recommend? Please provide a clear and objective rationale for each alternate approach you recommend.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A7EF0C9" id="_x0000_s1039" type="#_x0000_t202" style="position:absolute;left:0;text-align:left;margin-left:0;margin-top:29.1pt;width:450.15pt;height:110.6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" strokecolor="#04aeb9">
                <v:textbox style="mso-fit-shape-to-text:t">
                  <w:txbxContent>
                    <w:p w14:paraId="72F4E7EB" w14:textId="77777777" w:rsidR="0008728C" w:rsidRDefault="0008728C" w:rsidP="0008728C">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p>
                    <w:p w14:paraId="38720F3E" w14:textId="16CFFACB" w:rsidR="0008728C" w:rsidRDefault="0053594D" w:rsidP="002E73D3">
                      <w:pPr>
                        <w:jc w:val="both"/>
                        <w:rPr>
                          <w:lang w:val="en-GB"/>
                        </w:rPr>
                      </w:pPr>
                      <w:r>
                        <w:t xml:space="preserve">The </w:t>
                      </w:r>
                      <w:r w:rsidR="00700CC4">
                        <w:t xml:space="preserve">DSB </w:t>
                      </w:r>
                      <w:proofErr w:type="spellStart"/>
                      <w:r w:rsidR="00700CC4">
                        <w:t>recognises</w:t>
                      </w:r>
                      <w:proofErr w:type="spellEnd"/>
                      <w:r w:rsidR="00700CC4">
                        <w:t xml:space="preserve"> the need for contingency arrangements to cater for the exceptional </w:t>
                      </w:r>
                      <w:r>
                        <w:t>scenario of transfer of the UPI Service to another Service Provider</w:t>
                      </w:r>
                      <w:r w:rsidDel="0053594D">
                        <w:rPr>
                          <w:lang w:val="en-GB"/>
                        </w:rPr>
                        <w:t xml:space="preserve"> </w:t>
                      </w:r>
                      <w:r w:rsidR="001F151F">
                        <w:rPr>
                          <w:lang w:val="en-GB"/>
                        </w:rPr>
                        <w:t>e.g.,</w:t>
                      </w:r>
                      <w:r>
                        <w:rPr>
                          <w:lang w:val="en-GB"/>
                        </w:rPr>
                        <w:t xml:space="preserve"> linked to de-designation of the DSB. </w:t>
                      </w:r>
                    </w:p>
                    <w:p w14:paraId="7594E730" w14:textId="50340274" w:rsidR="0053594D" w:rsidRPr="002E73D3" w:rsidRDefault="0053594D" w:rsidP="002E73D3">
                      <w:pPr>
                        <w:jc w:val="both"/>
                        <w:rPr>
                          <w:rStyle w:val="normaltextrun"/>
                          <w:lang w:val="en-GB"/>
                        </w:rPr>
                      </w:pPr>
                      <w:r>
                        <w:rPr>
                          <w:lang w:val="en-GB"/>
                        </w:rPr>
                        <w:t xml:space="preserve">The DSB’s legal documentation will be updated to include </w:t>
                      </w:r>
                      <w:r w:rsidR="00700CC4">
                        <w:rPr>
                          <w:lang w:val="en-GB"/>
                        </w:rPr>
                        <w:t>explicit pr</w:t>
                      </w:r>
                      <w:r w:rsidR="00FD4513">
                        <w:rPr>
                          <w:lang w:val="en-GB"/>
                        </w:rPr>
                        <w:t>o</w:t>
                      </w:r>
                      <w:r w:rsidR="00700CC4">
                        <w:rPr>
                          <w:lang w:val="en-GB"/>
                        </w:rPr>
                        <w:t>vision(s)</w:t>
                      </w:r>
                      <w:r>
                        <w:rPr>
                          <w:lang w:val="en-GB"/>
                        </w:rPr>
                        <w:t xml:space="preserve"> that give the DSB permission to transfer this client data to </w:t>
                      </w:r>
                      <w:r w:rsidR="00C70F0E">
                        <w:rPr>
                          <w:lang w:val="en-GB"/>
                        </w:rPr>
                        <w:t>a</w:t>
                      </w:r>
                      <w:r>
                        <w:rPr>
                          <w:lang w:val="en-GB"/>
                        </w:rPr>
                        <w:t xml:space="preserve"> new </w:t>
                      </w:r>
                      <w:r w:rsidR="00C70F0E">
                        <w:rPr>
                          <w:lang w:val="en-GB"/>
                        </w:rPr>
                        <w:t xml:space="preserve">UPI </w:t>
                      </w:r>
                      <w:r>
                        <w:rPr>
                          <w:lang w:val="en-GB"/>
                        </w:rPr>
                        <w:t>Service Provider in a contingency scenario.</w:t>
                      </w:r>
                    </w:p>
                    <w:p w14:paraId="0ABF9485" w14:textId="3B600BE1" w:rsidR="0008728C" w:rsidRDefault="0008728C" w:rsidP="002E73D3">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1</w:t>
                      </w:r>
                      <w:r w:rsidR="0053594D">
                        <w:rPr>
                          <w:rStyle w:val="normaltextrun"/>
                          <w:rFonts w:cstheme="minorHAnsi"/>
                          <w:b/>
                          <w:bCs/>
                          <w:color w:val="000000"/>
                        </w:rPr>
                        <w:t>3</w:t>
                      </w:r>
                      <w:r>
                        <w:rPr>
                          <w:rStyle w:val="normaltextrun"/>
                          <w:rFonts w:cstheme="minorHAnsi"/>
                          <w:b/>
                          <w:bCs/>
                          <w:color w:val="000000"/>
                        </w:rPr>
                        <w:t xml:space="preserve">a: </w:t>
                      </w:r>
                      <w:r w:rsidRPr="00C208E5">
                        <w:rPr>
                          <w:rStyle w:val="normaltextrun"/>
                          <w:rFonts w:cstheme="minorHAnsi"/>
                          <w:b/>
                          <w:bCs/>
                          <w:i/>
                          <w:iCs/>
                          <w:color w:val="000000"/>
                        </w:rPr>
                        <w:t xml:space="preserve">Do you agree that it is appropriate to </w:t>
                      </w:r>
                      <w:r w:rsidR="0053594D">
                        <w:rPr>
                          <w:rStyle w:val="normaltextrun"/>
                          <w:rFonts w:cstheme="minorHAnsi"/>
                          <w:b/>
                          <w:bCs/>
                          <w:i/>
                          <w:iCs/>
                          <w:color w:val="000000"/>
                        </w:rPr>
                        <w:t>include new clause(s) to permit the DSB to transfer client data in the case of a contingency scenario</w:t>
                      </w:r>
                      <w:r>
                        <w:rPr>
                          <w:rStyle w:val="normaltextrun"/>
                          <w:rFonts w:cstheme="minorHAnsi"/>
                          <w:b/>
                          <w:bCs/>
                          <w:i/>
                          <w:iCs/>
                          <w:color w:val="000000"/>
                        </w:rPr>
                        <w:t>?</w:t>
                      </w:r>
                    </w:p>
                    <w:p w14:paraId="72B1615E" w14:textId="6EB496DE" w:rsidR="0008728C" w:rsidRPr="00471A99" w:rsidRDefault="0008728C" w:rsidP="002E73D3">
                      <w:pPr>
                        <w:jc w:val="both"/>
                        <w:rPr>
                          <w:rStyle w:val="normaltextrun"/>
                          <w:rFonts w:cstheme="minorHAnsi"/>
                          <w:b/>
                          <w:bCs/>
                          <w:i/>
                          <w:iCs/>
                          <w:color w:val="000000"/>
                        </w:rPr>
                      </w:pPr>
                      <w:r w:rsidRPr="0076032B">
                        <w:rPr>
                          <w:rStyle w:val="normaltextrun"/>
                          <w:rFonts w:cstheme="minorHAnsi"/>
                          <w:b/>
                          <w:bCs/>
                          <w:color w:val="000000"/>
                        </w:rPr>
                        <w:t>Question</w:t>
                      </w:r>
                      <w:r>
                        <w:rPr>
                          <w:rStyle w:val="normaltextrun"/>
                          <w:rFonts w:cstheme="minorHAnsi"/>
                          <w:b/>
                          <w:bCs/>
                          <w:color w:val="000000"/>
                        </w:rPr>
                        <w:t xml:space="preserve"> 1</w:t>
                      </w:r>
                      <w:r w:rsidR="0053594D">
                        <w:rPr>
                          <w:rStyle w:val="normaltextrun"/>
                          <w:rFonts w:cstheme="minorHAnsi"/>
                          <w:b/>
                          <w:bCs/>
                          <w:color w:val="000000"/>
                        </w:rPr>
                        <w:t>3</w:t>
                      </w:r>
                      <w:r>
                        <w:rPr>
                          <w:rStyle w:val="normaltextrun"/>
                          <w:rFonts w:cstheme="minorHAnsi"/>
                          <w:b/>
                          <w:bCs/>
                          <w:color w:val="000000"/>
                        </w:rPr>
                        <w:t xml:space="preserve">b: </w:t>
                      </w:r>
                      <w:r>
                        <w:rPr>
                          <w:rStyle w:val="normaltextrun"/>
                          <w:rFonts w:cstheme="minorHAnsi"/>
                          <w:b/>
                          <w:bCs/>
                          <w:i/>
                          <w:iCs/>
                          <w:color w:val="000000"/>
                        </w:rPr>
                        <w:t xml:space="preserve">If not, </w:t>
                      </w:r>
                      <w:r w:rsidRPr="000B0101">
                        <w:rPr>
                          <w:rStyle w:val="normaltextrun"/>
                          <w:rFonts w:cstheme="minorHAnsi"/>
                          <w:b/>
                          <w:i/>
                          <w:color w:val="000000"/>
                        </w:rPr>
                        <w:t>what specific alternate approach do you recommend? Please provide a clear and objective rationale for each alternate approach you recommend.</w:t>
                      </w:r>
                    </w:p>
                  </w:txbxContent>
                </v:textbox>
                <w10:wrap type="square" anchorx="margin"/>
              </v:shape>
            </w:pict>
          </mc:Fallback>
        </mc:AlternateContent>
      </w:r>
    </w:p>
    <w:p w14:paraId="4987272C" w14:textId="77777777" w:rsidR="00764556" w:rsidRDefault="00764556" w:rsidP="0008728C">
      <w:pPr>
        <w:jc w:val="both"/>
        <w:rPr>
          <w:b/>
          <w:bCs/>
          <w:u w:val="single"/>
        </w:rPr>
      </w:pPr>
    </w:p>
    <w:p w14:paraId="66FCADBB" w14:textId="02CE906C" w:rsidR="0008728C" w:rsidRDefault="0008728C" w:rsidP="0008728C">
      <w:pPr>
        <w:jc w:val="both"/>
        <w:rPr>
          <w:b/>
          <w:bCs/>
          <w:u w:val="single"/>
        </w:rPr>
      </w:pPr>
      <w:r>
        <w:rPr>
          <w:b/>
          <w:bCs/>
          <w:u w:val="single"/>
        </w:rPr>
        <w:t>Supporting information:</w:t>
      </w:r>
    </w:p>
    <w:p w14:paraId="1DAFAA35" w14:textId="6DBD624E" w:rsidR="0008728C" w:rsidRDefault="00600E7F" w:rsidP="0008728C">
      <w:pPr>
        <w:jc w:val="both"/>
      </w:pPr>
      <w:r>
        <w:t xml:space="preserve">In accordance with </w:t>
      </w:r>
      <w:r w:rsidR="00334CFE">
        <w:t xml:space="preserve">Articles VIII and XI </w:t>
      </w:r>
      <w:r w:rsidR="00686C7C">
        <w:t>of</w:t>
      </w:r>
      <w:r w:rsidR="00334CFE">
        <w:t xml:space="preserve"> </w:t>
      </w:r>
      <w:r>
        <w:t>the Memorandum of Understanding</w:t>
      </w:r>
      <w:r w:rsidR="00FF1CF4">
        <w:rPr>
          <w:rStyle w:val="FootnoteReference"/>
        </w:rPr>
        <w:footnoteReference w:id="59"/>
      </w:r>
      <w:r w:rsidR="00510B12">
        <w:t xml:space="preserve"> </w:t>
      </w:r>
      <w:r>
        <w:t xml:space="preserve">between </w:t>
      </w:r>
      <w:r w:rsidR="00F70E12">
        <w:t xml:space="preserve">the ROC and </w:t>
      </w:r>
      <w:r w:rsidR="00EA12BC">
        <w:t>t</w:t>
      </w:r>
      <w:r w:rsidR="00DD468F">
        <w:t>he DSB</w:t>
      </w:r>
      <w:r w:rsidR="00686C7C">
        <w:t>, the DSB</w:t>
      </w:r>
      <w:r w:rsidR="00DD468F">
        <w:t xml:space="preserve"> </w:t>
      </w:r>
      <w:r w:rsidR="00686C7C" w:rsidRPr="00740E2B">
        <w:rPr>
          <w:lang w:val="en-GB"/>
        </w:rPr>
        <w:t>recognises</w:t>
      </w:r>
      <w:r w:rsidR="00686C7C">
        <w:t xml:space="preserve"> the need for</w:t>
      </w:r>
      <w:r w:rsidR="00CA3144">
        <w:t xml:space="preserve"> </w:t>
      </w:r>
      <w:r w:rsidR="00DD468F">
        <w:t>contingency arrangements to cater for the</w:t>
      </w:r>
      <w:r w:rsidR="00844330">
        <w:t xml:space="preserve"> exceptional</w:t>
      </w:r>
      <w:r w:rsidR="00DD468F">
        <w:t xml:space="preserve"> scenario of</w:t>
      </w:r>
      <w:r w:rsidR="002F3E04">
        <w:t xml:space="preserve"> the</w:t>
      </w:r>
      <w:r w:rsidR="00DD468F">
        <w:t xml:space="preserve"> t</w:t>
      </w:r>
      <w:r w:rsidR="0099689F">
        <w:t xml:space="preserve">ransfer of the UPI Service to another Service Provider. This could occur where there is de-designation of the DSB as </w:t>
      </w:r>
      <w:r w:rsidR="00CA3144">
        <w:t>Service Provider, another planned migration</w:t>
      </w:r>
      <w:r w:rsidR="00410427">
        <w:t>,</w:t>
      </w:r>
      <w:r w:rsidR="00CA3144">
        <w:t xml:space="preserve"> or </w:t>
      </w:r>
      <w:r w:rsidR="00353ABE">
        <w:t xml:space="preserve">a </w:t>
      </w:r>
      <w:r w:rsidR="00CA3144">
        <w:t xml:space="preserve">migration in an emergency situation. </w:t>
      </w:r>
    </w:p>
    <w:p w14:paraId="6136CB85" w14:textId="54E673F3" w:rsidR="00925DF0" w:rsidRPr="00CE6148" w:rsidRDefault="00925DF0" w:rsidP="00D6731B">
      <w:pPr>
        <w:jc w:val="both"/>
      </w:pPr>
      <w:r>
        <w:t xml:space="preserve">On the basis of </w:t>
      </w:r>
      <w:r w:rsidR="00BB21F5">
        <w:t>ensuring</w:t>
      </w:r>
      <w:r w:rsidR="00410427">
        <w:t xml:space="preserve"> UPI </w:t>
      </w:r>
      <w:r w:rsidR="00BB21F5">
        <w:t xml:space="preserve">business continuity in the scenario </w:t>
      </w:r>
      <w:r w:rsidR="00591B95">
        <w:t xml:space="preserve">where the UPI </w:t>
      </w:r>
      <w:r w:rsidR="002507E2">
        <w:t>Service</w:t>
      </w:r>
      <w:r w:rsidR="00591B95">
        <w:t xml:space="preserve"> </w:t>
      </w:r>
      <w:r w:rsidR="002507E2">
        <w:t>will be transferred to another Service Provider</w:t>
      </w:r>
      <w:r w:rsidR="00501E0F">
        <w:t xml:space="preserve">, it is essential that </w:t>
      </w:r>
      <w:r w:rsidR="0072763E">
        <w:t xml:space="preserve">during the onboarding process </w:t>
      </w:r>
      <w:r w:rsidR="00501E0F" w:rsidRPr="00501E0F">
        <w:t>users</w:t>
      </w:r>
      <w:r w:rsidR="00501E0F">
        <w:t xml:space="preserve"> provide</w:t>
      </w:r>
      <w:r w:rsidR="00501E0F" w:rsidRPr="00501E0F">
        <w:t xml:space="preserve"> their explicit consent to the transfer of their personal data in a </w:t>
      </w:r>
      <w:r w:rsidR="001B1E17">
        <w:t xml:space="preserve">case of a </w:t>
      </w:r>
      <w:r w:rsidR="00501E0F" w:rsidRPr="00501E0F">
        <w:t>contingency</w:t>
      </w:r>
      <w:r w:rsidR="00410427">
        <w:t xml:space="preserve">. </w:t>
      </w:r>
      <w:r w:rsidR="001B1E17">
        <w:t>The</w:t>
      </w:r>
      <w:r w:rsidR="001B1E17" w:rsidRPr="001B1E17">
        <w:t xml:space="preserve"> aim </w:t>
      </w:r>
      <w:r w:rsidR="00E5188F">
        <w:t>is to</w:t>
      </w:r>
      <w:r w:rsidR="001B1E17" w:rsidRPr="001B1E17">
        <w:t xml:space="preserve"> avoid undue market or regulatory disruption a</w:t>
      </w:r>
      <w:r w:rsidR="00E5188F">
        <w:t>s well as</w:t>
      </w:r>
      <w:r w:rsidR="001B1E17" w:rsidRPr="001B1E17">
        <w:t xml:space="preserve"> protect intellectual property rights that a</w:t>
      </w:r>
      <w:r w:rsidR="003204DF">
        <w:t>r</w:t>
      </w:r>
      <w:r w:rsidR="001B1E17" w:rsidRPr="001B1E17">
        <w:t>e held for the public benefit</w:t>
      </w:r>
      <w:r w:rsidR="00D6731B">
        <w:t>.</w:t>
      </w:r>
    </w:p>
    <w:p w14:paraId="4E8590AF" w14:textId="1B44B8F5" w:rsidR="003D36DF" w:rsidRPr="00B6520A" w:rsidRDefault="00867F89" w:rsidP="00D6731B">
      <w:pPr>
        <w:jc w:val="both"/>
        <w:rPr>
          <w:rFonts w:ascii="Calibri" w:hAnsi="Calibri" w:cs="Calibri"/>
          <w:color w:val="000000"/>
          <w:shd w:val="clear" w:color="auto" w:fill="FFFFFF"/>
        </w:rPr>
      </w:pPr>
      <w:r>
        <w:t xml:space="preserve">The </w:t>
      </w:r>
      <w:r w:rsidR="00D6731B">
        <w:t xml:space="preserve">DSB </w:t>
      </w:r>
      <w:r w:rsidR="00BB2787">
        <w:t xml:space="preserve">will continue to work with the ROC to </w:t>
      </w:r>
      <w:r w:rsidR="009A1F83">
        <w:t>ensure appropriate contingency arrangements</w:t>
      </w:r>
      <w:r w:rsidR="009A1F83">
        <w:rPr>
          <w:rStyle w:val="normaltextrun"/>
          <w:rFonts w:ascii="Calibri" w:hAnsi="Calibri" w:cs="Calibri"/>
          <w:color w:val="000000"/>
          <w:shd w:val="clear" w:color="auto" w:fill="FFFFFF"/>
        </w:rPr>
        <w:t xml:space="preserve"> are implemented </w:t>
      </w:r>
      <w:r w:rsidR="003D36DF">
        <w:rPr>
          <w:rStyle w:val="normaltextrun"/>
          <w:rFonts w:ascii="Calibri" w:hAnsi="Calibri" w:cs="Calibri"/>
          <w:color w:val="000000"/>
          <w:shd w:val="clear" w:color="auto" w:fill="FFFFFF"/>
        </w:rPr>
        <w:t>to ensure no loss of service to the UPI user community</w:t>
      </w:r>
      <w:r w:rsidR="003D36DF">
        <w:rPr>
          <w:rStyle w:val="eop"/>
          <w:rFonts w:ascii="Calibri" w:hAnsi="Calibri" w:cs="Calibri"/>
          <w:color w:val="000000"/>
          <w:shd w:val="clear" w:color="auto" w:fill="FFFFFF"/>
        </w:rPr>
        <w:t>, and no</w:t>
      </w:r>
      <w:r w:rsidR="003D36DF">
        <w:rPr>
          <w:rStyle w:val="normaltextrun"/>
          <w:rFonts w:ascii="Calibri" w:hAnsi="Calibri" w:cs="Calibri"/>
          <w:color w:val="000000"/>
          <w:shd w:val="clear" w:color="auto" w:fill="FFFFFF"/>
        </w:rPr>
        <w:t xml:space="preserve"> impact to the creation or use of UPI</w:t>
      </w:r>
      <w:r w:rsidR="002F3E04">
        <w:rPr>
          <w:rStyle w:val="normaltextrun"/>
          <w:rFonts w:ascii="Calibri" w:hAnsi="Calibri" w:cs="Calibri"/>
          <w:color w:val="000000"/>
          <w:shd w:val="clear" w:color="auto" w:fill="FFFFFF"/>
        </w:rPr>
        <w:t>s</w:t>
      </w:r>
      <w:r w:rsidR="003D36DF">
        <w:rPr>
          <w:rStyle w:val="eop"/>
          <w:rFonts w:ascii="Calibri" w:hAnsi="Calibri" w:cs="Calibri"/>
          <w:color w:val="000000"/>
          <w:shd w:val="clear" w:color="auto" w:fill="FFFFFF"/>
        </w:rPr>
        <w:t xml:space="preserve">. </w:t>
      </w:r>
    </w:p>
    <w:p w14:paraId="772167ED" w14:textId="77777777" w:rsidR="0008728C" w:rsidRDefault="0008728C" w:rsidP="00700CC4">
      <w:pPr>
        <w:jc w:val="both"/>
        <w:rPr>
          <w:b/>
          <w:bCs/>
          <w:u w:val="single"/>
        </w:rPr>
      </w:pPr>
      <w:r>
        <w:rPr>
          <w:b/>
          <w:bCs/>
          <w:u w:val="single"/>
        </w:rPr>
        <w:t>DSB Proposal</w:t>
      </w:r>
      <w:r w:rsidRPr="00623841">
        <w:rPr>
          <w:b/>
          <w:bCs/>
          <w:u w:val="single"/>
        </w:rPr>
        <w:t>:</w:t>
      </w:r>
    </w:p>
    <w:p w14:paraId="6E87162B" w14:textId="38FAB706" w:rsidR="007625FD" w:rsidRDefault="00952241" w:rsidP="00C70F0E">
      <w:pPr>
        <w:jc w:val="both"/>
        <w:rPr>
          <w:rFonts w:asciiTheme="majorHAnsi" w:eastAsiaTheme="majorEastAsia" w:hAnsiTheme="majorHAnsi" w:cstheme="majorBidi"/>
          <w:color w:val="365F91" w:themeColor="accent1" w:themeShade="BF"/>
          <w:sz w:val="32"/>
          <w:szCs w:val="32"/>
          <w:lang w:val="en-GB"/>
        </w:rPr>
      </w:pPr>
      <w:r>
        <w:rPr>
          <w:lang w:val="en-GB"/>
        </w:rPr>
        <w:t>The DSB’s legal documentation will be updated</w:t>
      </w:r>
      <w:r w:rsidR="00F27010">
        <w:rPr>
          <w:lang w:val="en-GB"/>
        </w:rPr>
        <w:t xml:space="preserve"> </w:t>
      </w:r>
      <w:r w:rsidR="0053594D">
        <w:rPr>
          <w:lang w:val="en-GB"/>
        </w:rPr>
        <w:t>where</w:t>
      </w:r>
      <w:r w:rsidR="00F27010">
        <w:rPr>
          <w:lang w:val="en-GB"/>
        </w:rPr>
        <w:t xml:space="preserve"> appropriate</w:t>
      </w:r>
      <w:r>
        <w:rPr>
          <w:lang w:val="en-GB"/>
        </w:rPr>
        <w:t xml:space="preserve"> </w:t>
      </w:r>
      <w:r w:rsidR="00CB0766">
        <w:rPr>
          <w:lang w:val="en-GB"/>
        </w:rPr>
        <w:t>to include</w:t>
      </w:r>
      <w:r w:rsidR="00D6731B">
        <w:rPr>
          <w:lang w:val="en-GB"/>
        </w:rPr>
        <w:t xml:space="preserve"> explicit</w:t>
      </w:r>
      <w:r w:rsidR="00CB0766">
        <w:rPr>
          <w:lang w:val="en-GB"/>
        </w:rPr>
        <w:t xml:space="preserve"> </w:t>
      </w:r>
      <w:r w:rsidR="00D6731B">
        <w:rPr>
          <w:lang w:val="en-GB"/>
        </w:rPr>
        <w:t>provision</w:t>
      </w:r>
      <w:r w:rsidR="00C36182">
        <w:rPr>
          <w:lang w:val="en-GB"/>
        </w:rPr>
        <w:t>(s)</w:t>
      </w:r>
      <w:r w:rsidR="00CB0766">
        <w:rPr>
          <w:lang w:val="en-GB"/>
        </w:rPr>
        <w:t xml:space="preserve"> that </w:t>
      </w:r>
      <w:r w:rsidR="00F27010">
        <w:rPr>
          <w:lang w:val="en-GB"/>
        </w:rPr>
        <w:t>give the DSB permission to transfer</w:t>
      </w:r>
      <w:r w:rsidR="00F27010" w:rsidDel="00C36182">
        <w:rPr>
          <w:lang w:val="en-GB"/>
        </w:rPr>
        <w:t xml:space="preserve"> </w:t>
      </w:r>
      <w:r w:rsidR="00F27010">
        <w:rPr>
          <w:lang w:val="en-GB"/>
        </w:rPr>
        <w:t xml:space="preserve">client data to </w:t>
      </w:r>
      <w:r w:rsidR="00C70F0E">
        <w:rPr>
          <w:lang w:val="en-GB"/>
        </w:rPr>
        <w:t>a</w:t>
      </w:r>
      <w:r w:rsidR="00F27010">
        <w:rPr>
          <w:lang w:val="en-GB"/>
        </w:rPr>
        <w:t xml:space="preserve"> new </w:t>
      </w:r>
      <w:r w:rsidR="00C70F0E">
        <w:rPr>
          <w:lang w:val="en-GB"/>
        </w:rPr>
        <w:t>UPI</w:t>
      </w:r>
      <w:r w:rsidR="00F27010">
        <w:rPr>
          <w:lang w:val="en-GB"/>
        </w:rPr>
        <w:t xml:space="preserve"> Service Provider</w:t>
      </w:r>
      <w:r w:rsidR="0053594D">
        <w:rPr>
          <w:lang w:val="en-GB"/>
        </w:rPr>
        <w:t xml:space="preserve"> in </w:t>
      </w:r>
      <w:r w:rsidR="00D6731B">
        <w:rPr>
          <w:lang w:val="en-GB"/>
        </w:rPr>
        <w:t>a</w:t>
      </w:r>
      <w:r w:rsidR="0053594D">
        <w:rPr>
          <w:lang w:val="en-GB"/>
        </w:rPr>
        <w:t xml:space="preserve"> contingency scenario.</w:t>
      </w:r>
      <w:bookmarkStart w:id="128" w:name="_Ref57817085"/>
      <w:bookmarkStart w:id="129" w:name="_Toc61255940"/>
      <w:bookmarkEnd w:id="72"/>
      <w:bookmarkEnd w:id="73"/>
    </w:p>
    <w:p w14:paraId="4F6A699B" w14:textId="77777777" w:rsidR="007625FD" w:rsidRDefault="007625FD" w:rsidP="007625FD">
      <w:pPr>
        <w:rPr>
          <w:rFonts w:asciiTheme="majorHAnsi" w:eastAsiaTheme="majorEastAsia" w:hAnsiTheme="majorHAnsi" w:cstheme="majorBidi"/>
          <w:color w:val="365F91" w:themeColor="accent1" w:themeShade="BF"/>
          <w:sz w:val="32"/>
          <w:szCs w:val="32"/>
          <w:lang w:val="en-GB"/>
        </w:rPr>
      </w:pPr>
      <w:r>
        <w:br w:type="page"/>
      </w:r>
    </w:p>
    <w:p w14:paraId="7448CD65" w14:textId="77777777" w:rsidR="00752132" w:rsidRDefault="00752132" w:rsidP="007625FD">
      <w:pPr>
        <w:pStyle w:val="Heading1"/>
        <w:sectPr w:rsidR="00752132" w:rsidSect="00681612">
          <w:footerReference w:type="default" r:id="rId41"/>
          <w:footerReference w:type="first" r:id="rId42"/>
          <w:pgSz w:w="12240" w:h="15840"/>
          <w:pgMar w:top="1440" w:right="1440" w:bottom="1135" w:left="1440" w:header="720" w:footer="720" w:gutter="0"/>
          <w:cols w:space="720"/>
          <w:docGrid w:linePitch="360"/>
        </w:sectPr>
      </w:pPr>
    </w:p>
    <w:p w14:paraId="40622E0F" w14:textId="5BBCC7C6" w:rsidR="007625FD" w:rsidRPr="00DD54E4" w:rsidRDefault="007625FD" w:rsidP="007625FD">
      <w:pPr>
        <w:pStyle w:val="Heading1"/>
      </w:pPr>
      <w:bookmarkStart w:id="130" w:name="_Toc86680487"/>
      <w:r>
        <w:lastRenderedPageBreak/>
        <w:t>Consultation Response Form</w:t>
      </w:r>
      <w:bookmarkEnd w:id="130"/>
      <w:r>
        <w:t xml:space="preserve"> </w:t>
      </w:r>
      <w:bookmarkEnd w:id="128"/>
      <w:bookmarkEnd w:id="129"/>
      <w:r w:rsidRPr="00DD54E4">
        <w:t xml:space="preserve"> </w:t>
      </w:r>
    </w:p>
    <w:p w14:paraId="118DCB9F" w14:textId="77777777" w:rsidR="007625FD" w:rsidRPr="004A5599" w:rsidRDefault="007625FD" w:rsidP="007625FD">
      <w:pPr>
        <w:pStyle w:val="NormalWeb"/>
        <w:spacing w:before="0" w:beforeAutospacing="0" w:line="276" w:lineRule="auto"/>
        <w:jc w:val="both"/>
        <w:rPr>
          <w:rFonts w:asciiTheme="minorHAnsi" w:eastAsiaTheme="minorHAnsi" w:hAnsiTheme="minorHAnsi" w:cstheme="minorBidi"/>
          <w:b/>
          <w:sz w:val="22"/>
          <w:szCs w:val="22"/>
          <w:lang w:val="en-GB"/>
        </w:rPr>
      </w:pPr>
      <w:r w:rsidRPr="004A5599">
        <w:rPr>
          <w:rFonts w:asciiTheme="minorHAnsi" w:eastAsiaTheme="minorHAnsi" w:hAnsiTheme="minorHAnsi" w:cstheme="minorBidi"/>
          <w:b/>
          <w:sz w:val="22"/>
          <w:szCs w:val="22"/>
          <w:lang w:val="en-GB"/>
        </w:rPr>
        <w:t xml:space="preserve">Proposed Format for Industry Responses to the DSB Consultations: </w:t>
      </w:r>
    </w:p>
    <w:p w14:paraId="07C941E5" w14:textId="77777777" w:rsidR="007625FD" w:rsidRPr="00C70F0E" w:rsidRDefault="007625FD" w:rsidP="007625FD">
      <w:pPr>
        <w:pStyle w:val="ListParagraph"/>
        <w:numPr>
          <w:ilvl w:val="0"/>
          <w:numId w:val="10"/>
        </w:numPr>
        <w:autoSpaceDE/>
        <w:autoSpaceDN/>
        <w:adjustRightInd/>
        <w:spacing w:before="0" w:after="120" w:line="276" w:lineRule="auto"/>
        <w:ind w:right="0"/>
        <w:jc w:val="both"/>
        <w:rPr>
          <w:sz w:val="22"/>
          <w:szCs w:val="22"/>
        </w:rPr>
      </w:pPr>
      <w:r w:rsidRPr="00C70F0E">
        <w:rPr>
          <w:sz w:val="22"/>
          <w:szCs w:val="22"/>
        </w:rPr>
        <w:t xml:space="preserve">Consultation responses should be completed using the form below and emailed to </w:t>
      </w:r>
      <w:hyperlink r:id="rId43" w:history="1">
        <w:r w:rsidRPr="00C70F0E">
          <w:rPr>
            <w:rStyle w:val="Hyperlink"/>
            <w:sz w:val="22"/>
            <w:szCs w:val="22"/>
          </w:rPr>
          <w:t>industry_consultation@anna-dsb.com</w:t>
        </w:r>
      </w:hyperlink>
      <w:r w:rsidRPr="00C70F0E">
        <w:rPr>
          <w:sz w:val="22"/>
          <w:szCs w:val="22"/>
        </w:rPr>
        <w:t> </w:t>
      </w:r>
    </w:p>
    <w:p w14:paraId="4EF1AB55" w14:textId="77777777" w:rsidR="007625FD" w:rsidRPr="00C70F0E" w:rsidRDefault="007625FD" w:rsidP="007625FD">
      <w:pPr>
        <w:pStyle w:val="ListParagraph"/>
        <w:numPr>
          <w:ilvl w:val="0"/>
          <w:numId w:val="10"/>
        </w:numPr>
        <w:autoSpaceDE/>
        <w:autoSpaceDN/>
        <w:adjustRightInd/>
        <w:spacing w:before="0" w:after="120" w:line="276" w:lineRule="auto"/>
        <w:ind w:right="0"/>
        <w:jc w:val="both"/>
        <w:rPr>
          <w:sz w:val="22"/>
          <w:szCs w:val="22"/>
        </w:rPr>
      </w:pPr>
      <w:r w:rsidRPr="00C70F0E">
        <w:rPr>
          <w:sz w:val="22"/>
          <w:szCs w:val="22"/>
        </w:rPr>
        <w:t>Respondents can indicate whether the response is to be treated as anonymous. Note that all responses are published on the DSB website and are not anonymized unless a specific request is made.</w:t>
      </w:r>
    </w:p>
    <w:p w14:paraId="2846BE1D" w14:textId="77777777" w:rsidR="007625FD" w:rsidRPr="00C70F0E" w:rsidRDefault="007625FD" w:rsidP="007625FD">
      <w:pPr>
        <w:pStyle w:val="ListParagraph"/>
        <w:numPr>
          <w:ilvl w:val="0"/>
          <w:numId w:val="10"/>
        </w:numPr>
        <w:autoSpaceDE/>
        <w:autoSpaceDN/>
        <w:adjustRightInd/>
        <w:spacing w:before="0" w:after="120" w:line="276" w:lineRule="auto"/>
        <w:ind w:right="0"/>
        <w:jc w:val="both"/>
        <w:rPr>
          <w:sz w:val="22"/>
          <w:szCs w:val="22"/>
        </w:rPr>
      </w:pPr>
      <w:r w:rsidRPr="00C70F0E">
        <w:rPr>
          <w:sz w:val="22"/>
          <w:szCs w:val="22"/>
        </w:rPr>
        <w:t xml:space="preserve">Respondents are requested to state whether they concur with the assumptions and principles set out in the document, or propose alternate evidence driven considerations that they believe should be utilized instead and/or alongside the proposals set out in this paper. </w:t>
      </w:r>
    </w:p>
    <w:p w14:paraId="3CF81708" w14:textId="77777777" w:rsidR="007625FD" w:rsidRPr="00C70F0E" w:rsidRDefault="007625FD" w:rsidP="007625FD">
      <w:pPr>
        <w:pStyle w:val="ListParagraph"/>
        <w:numPr>
          <w:ilvl w:val="0"/>
          <w:numId w:val="10"/>
        </w:numPr>
        <w:autoSpaceDE/>
        <w:autoSpaceDN/>
        <w:adjustRightInd/>
        <w:spacing w:before="0" w:after="120" w:line="276" w:lineRule="auto"/>
        <w:ind w:right="0"/>
        <w:jc w:val="both"/>
        <w:rPr>
          <w:sz w:val="22"/>
          <w:szCs w:val="22"/>
        </w:rPr>
      </w:pPr>
      <w:r w:rsidRPr="00C70F0E">
        <w:rPr>
          <w:sz w:val="22"/>
          <w:szCs w:val="22"/>
        </w:rPr>
        <w:t xml:space="preserve">Respondents also can also provide any general comments in the final section of the response form provided at the end of this paper. </w:t>
      </w:r>
    </w:p>
    <w:p w14:paraId="1498661A" w14:textId="77777777" w:rsidR="007625FD" w:rsidRPr="00C70F0E" w:rsidRDefault="007625FD" w:rsidP="007625FD">
      <w:pPr>
        <w:pStyle w:val="ListParagraph"/>
        <w:numPr>
          <w:ilvl w:val="0"/>
          <w:numId w:val="10"/>
        </w:numPr>
        <w:autoSpaceDE/>
        <w:autoSpaceDN/>
        <w:adjustRightInd/>
        <w:spacing w:before="0" w:after="120" w:line="276" w:lineRule="auto"/>
        <w:ind w:right="0"/>
        <w:jc w:val="both"/>
        <w:rPr>
          <w:sz w:val="22"/>
          <w:szCs w:val="22"/>
        </w:rPr>
      </w:pPr>
      <w:r w:rsidRPr="00C70F0E">
        <w:rPr>
          <w:sz w:val="22"/>
          <w:szCs w:val="22"/>
        </w:rPr>
        <w:t>The consultation enables the DSB to ensure that the DSB can work to reflect the best target solution sought by industry (within the governance framework of the utility). </w:t>
      </w:r>
    </w:p>
    <w:p w14:paraId="35919EE8" w14:textId="77777777" w:rsidR="007625FD" w:rsidRPr="00C70F0E" w:rsidRDefault="007625FD" w:rsidP="007625FD">
      <w:pPr>
        <w:pStyle w:val="ListParagraph"/>
        <w:numPr>
          <w:ilvl w:val="0"/>
          <w:numId w:val="10"/>
        </w:numPr>
        <w:autoSpaceDE/>
        <w:autoSpaceDN/>
        <w:adjustRightInd/>
        <w:spacing w:before="0" w:after="120" w:line="276" w:lineRule="auto"/>
        <w:ind w:right="0"/>
        <w:jc w:val="both"/>
        <w:rPr>
          <w:sz w:val="22"/>
          <w:szCs w:val="22"/>
        </w:rPr>
      </w:pPr>
      <w:r w:rsidRPr="00C70F0E">
        <w:rPr>
          <w:sz w:val="22"/>
          <w:szCs w:val="22"/>
        </w:rPr>
        <w:t xml:space="preserve">As with prior consultations, each organization is permitted a single response.  </w:t>
      </w:r>
    </w:p>
    <w:p w14:paraId="2E89EB3F" w14:textId="77777777" w:rsidR="007625FD" w:rsidRPr="00C70F0E" w:rsidRDefault="007625FD" w:rsidP="007625FD">
      <w:pPr>
        <w:pStyle w:val="ListParagraph"/>
        <w:numPr>
          <w:ilvl w:val="0"/>
          <w:numId w:val="10"/>
        </w:numPr>
        <w:autoSpaceDE/>
        <w:autoSpaceDN/>
        <w:adjustRightInd/>
        <w:spacing w:before="0" w:after="120" w:line="276" w:lineRule="auto"/>
        <w:ind w:right="0"/>
        <w:jc w:val="both"/>
        <w:rPr>
          <w:sz w:val="22"/>
          <w:szCs w:val="22"/>
        </w:rPr>
      </w:pPr>
      <w:r w:rsidRPr="00C70F0E">
        <w:rPr>
          <w:sz w:val="22"/>
          <w:szCs w:val="22"/>
        </w:rPr>
        <w:t xml:space="preserve">Responses should include details of the type of organization responding to the consultation and its current User category to enable the DSB to </w:t>
      </w:r>
      <w:proofErr w:type="spellStart"/>
      <w:r w:rsidRPr="00C70F0E">
        <w:rPr>
          <w:sz w:val="22"/>
          <w:szCs w:val="22"/>
        </w:rPr>
        <w:t>analyse</w:t>
      </w:r>
      <w:proofErr w:type="spellEnd"/>
      <w:r w:rsidRPr="00C70F0E">
        <w:rPr>
          <w:sz w:val="22"/>
          <w:szCs w:val="22"/>
        </w:rPr>
        <w:t xml:space="preserve"> client needs in more detail and include anonymized statistics as part of the second consultation report.  </w:t>
      </w:r>
    </w:p>
    <w:p w14:paraId="7C1295DE" w14:textId="77777777" w:rsidR="007625FD" w:rsidRPr="00C70F0E" w:rsidRDefault="007625FD" w:rsidP="007625FD">
      <w:pPr>
        <w:pStyle w:val="ListParagraph"/>
        <w:numPr>
          <w:ilvl w:val="0"/>
          <w:numId w:val="10"/>
        </w:numPr>
        <w:autoSpaceDE/>
        <w:autoSpaceDN/>
        <w:adjustRightInd/>
        <w:spacing w:before="0" w:after="120" w:line="276" w:lineRule="auto"/>
        <w:ind w:right="0"/>
        <w:jc w:val="both"/>
        <w:rPr>
          <w:sz w:val="22"/>
          <w:szCs w:val="22"/>
        </w:rPr>
      </w:pPr>
      <w:r w:rsidRPr="00C70F0E">
        <w:rPr>
          <w:sz w:val="22"/>
          <w:szCs w:val="22"/>
        </w:rPr>
        <w:t>Responses must be received by 5pm UTC on Wednesday 19</w:t>
      </w:r>
      <w:r w:rsidRPr="00C70F0E">
        <w:rPr>
          <w:sz w:val="22"/>
          <w:szCs w:val="22"/>
          <w:vertAlign w:val="superscript"/>
        </w:rPr>
        <w:t>th</w:t>
      </w:r>
      <w:r w:rsidRPr="00C70F0E">
        <w:rPr>
          <w:sz w:val="22"/>
          <w:szCs w:val="22"/>
        </w:rPr>
        <w:t xml:space="preserve"> January 2021. </w:t>
      </w:r>
    </w:p>
    <w:p w14:paraId="700C5883" w14:textId="77777777" w:rsidR="007625FD" w:rsidRPr="00C70F0E" w:rsidRDefault="007625FD" w:rsidP="007625FD">
      <w:pPr>
        <w:pStyle w:val="ListParagraph"/>
        <w:numPr>
          <w:ilvl w:val="0"/>
          <w:numId w:val="10"/>
        </w:numPr>
        <w:autoSpaceDE/>
        <w:autoSpaceDN/>
        <w:adjustRightInd/>
        <w:spacing w:before="0" w:after="120" w:line="276" w:lineRule="auto"/>
        <w:ind w:left="714" w:right="0" w:hanging="357"/>
        <w:jc w:val="both"/>
        <w:rPr>
          <w:sz w:val="22"/>
          <w:szCs w:val="22"/>
        </w:rPr>
      </w:pPr>
      <w:r w:rsidRPr="00C70F0E">
        <w:rPr>
          <w:sz w:val="22"/>
          <w:szCs w:val="22"/>
        </w:rPr>
        <w:t xml:space="preserve">Two webinars to address consultation related queries will take place, with timings to suit market participants around the globe. </w:t>
      </w:r>
    </w:p>
    <w:p w14:paraId="24AC84F7" w14:textId="39431531" w:rsidR="007625FD" w:rsidRPr="00C70F0E" w:rsidRDefault="007625FD" w:rsidP="007625FD">
      <w:pPr>
        <w:pStyle w:val="ListParagraph"/>
        <w:numPr>
          <w:ilvl w:val="1"/>
          <w:numId w:val="10"/>
        </w:numPr>
        <w:autoSpaceDE/>
        <w:autoSpaceDN/>
        <w:adjustRightInd/>
        <w:spacing w:before="0" w:after="120" w:line="276" w:lineRule="auto"/>
        <w:ind w:right="0"/>
        <w:jc w:val="both"/>
        <w:rPr>
          <w:sz w:val="22"/>
          <w:szCs w:val="22"/>
        </w:rPr>
      </w:pPr>
      <w:r w:rsidRPr="000062C4">
        <w:rPr>
          <w:sz w:val="22"/>
          <w:szCs w:val="22"/>
        </w:rPr>
        <w:t>Register for</w:t>
      </w:r>
      <w:r w:rsidRPr="00C70F0E">
        <w:rPr>
          <w:sz w:val="22"/>
          <w:szCs w:val="22"/>
        </w:rPr>
        <w:t xml:space="preserve"> the webinar at 6am UTC</w:t>
      </w:r>
      <w:r w:rsidRPr="00C70F0E">
        <w:rPr>
          <w:rStyle w:val="FootnoteReference"/>
          <w:sz w:val="22"/>
          <w:szCs w:val="22"/>
        </w:rPr>
        <w:footnoteReference w:id="60"/>
      </w:r>
      <w:r w:rsidRPr="00C70F0E">
        <w:rPr>
          <w:sz w:val="22"/>
          <w:szCs w:val="22"/>
        </w:rPr>
        <w:t xml:space="preserve"> on Tuesday 9</w:t>
      </w:r>
      <w:r w:rsidRPr="00C70F0E">
        <w:rPr>
          <w:sz w:val="22"/>
          <w:szCs w:val="22"/>
          <w:vertAlign w:val="superscript"/>
        </w:rPr>
        <w:t>th</w:t>
      </w:r>
      <w:r w:rsidRPr="00C70F0E">
        <w:rPr>
          <w:sz w:val="22"/>
          <w:szCs w:val="22"/>
        </w:rPr>
        <w:t xml:space="preserve"> November 2021</w:t>
      </w:r>
    </w:p>
    <w:p w14:paraId="0975B673" w14:textId="671FA70E" w:rsidR="007625FD" w:rsidRPr="00C70F0E" w:rsidRDefault="007625FD" w:rsidP="007625FD">
      <w:pPr>
        <w:pStyle w:val="ListParagraph"/>
        <w:numPr>
          <w:ilvl w:val="1"/>
          <w:numId w:val="10"/>
        </w:numPr>
        <w:autoSpaceDE/>
        <w:autoSpaceDN/>
        <w:adjustRightInd/>
        <w:spacing w:before="0" w:after="120" w:line="276" w:lineRule="auto"/>
        <w:ind w:right="0"/>
        <w:jc w:val="both"/>
        <w:rPr>
          <w:sz w:val="22"/>
          <w:szCs w:val="22"/>
        </w:rPr>
      </w:pPr>
      <w:r w:rsidRPr="000062C4">
        <w:rPr>
          <w:sz w:val="22"/>
          <w:szCs w:val="22"/>
        </w:rPr>
        <w:t>Register for</w:t>
      </w:r>
      <w:r w:rsidRPr="00C70F0E">
        <w:rPr>
          <w:sz w:val="22"/>
          <w:szCs w:val="22"/>
        </w:rPr>
        <w:t xml:space="preserve"> the webinar at 1pm UTC</w:t>
      </w:r>
      <w:r w:rsidRPr="00C70F0E">
        <w:rPr>
          <w:rStyle w:val="FootnoteReference"/>
          <w:sz w:val="22"/>
          <w:szCs w:val="22"/>
        </w:rPr>
        <w:footnoteReference w:id="61"/>
      </w:r>
      <w:r w:rsidRPr="00C70F0E">
        <w:rPr>
          <w:sz w:val="22"/>
          <w:szCs w:val="22"/>
        </w:rPr>
        <w:t xml:space="preserve"> on Wednesday 10</w:t>
      </w:r>
      <w:r w:rsidRPr="00C70F0E">
        <w:rPr>
          <w:sz w:val="22"/>
          <w:szCs w:val="22"/>
          <w:vertAlign w:val="superscript"/>
        </w:rPr>
        <w:t>th</w:t>
      </w:r>
      <w:r w:rsidRPr="00C70F0E">
        <w:rPr>
          <w:sz w:val="22"/>
          <w:szCs w:val="22"/>
        </w:rPr>
        <w:t xml:space="preserve"> November 2021</w:t>
      </w:r>
    </w:p>
    <w:p w14:paraId="03E50E88" w14:textId="77777777" w:rsidR="007625FD" w:rsidRPr="00E72F19" w:rsidRDefault="007625FD" w:rsidP="007625FD">
      <w:pPr>
        <w:pStyle w:val="ETSNORMAL12pt"/>
        <w:spacing w:after="120" w:line="276" w:lineRule="auto"/>
        <w:rPr>
          <w:rFonts w:asciiTheme="minorHAnsi" w:hAnsiTheme="minorHAnsi" w:cstheme="minorHAnsi"/>
          <w:color w:val="0070C0"/>
          <w:sz w:val="26"/>
          <w:szCs w:val="26"/>
        </w:rPr>
      </w:pPr>
      <w:bookmarkStart w:id="131" w:name="_Toc7171256"/>
      <w:bookmarkStart w:id="132" w:name="_Toc8250277"/>
      <w:r>
        <w:rPr>
          <w:rFonts w:asciiTheme="minorHAnsi" w:hAnsiTheme="minorHAnsi" w:cstheme="minorHAnsi"/>
          <w:color w:val="0070C0"/>
        </w:rPr>
        <w:lastRenderedPageBreak/>
        <w:t xml:space="preserve">         </w:t>
      </w:r>
      <w:r w:rsidRPr="000A57BB">
        <w:rPr>
          <w:rFonts w:asciiTheme="minorHAnsi" w:hAnsiTheme="minorHAnsi" w:cstheme="minorHAnsi"/>
          <w:color w:val="0070C0"/>
          <w:sz w:val="26"/>
          <w:szCs w:val="26"/>
        </w:rPr>
        <w:t>Respondent Details</w:t>
      </w:r>
      <w:bookmarkEnd w:id="131"/>
      <w:bookmarkEnd w:id="132"/>
      <w:r w:rsidRPr="00E72F19">
        <w:rPr>
          <w:rFonts w:asciiTheme="minorHAnsi" w:hAnsiTheme="minorHAnsi" w:cstheme="minorHAnsi"/>
          <w:color w:val="0070C0"/>
          <w:sz w:val="26"/>
          <w:szCs w:val="26"/>
        </w:rPr>
        <w:t xml:space="preserve"> </w:t>
      </w:r>
    </w:p>
    <w:tbl>
      <w:tblPr>
        <w:tblStyle w:val="TableGrid"/>
        <w:tblW w:w="9067" w:type="dxa"/>
        <w:tblBorders>
          <w:top w:val="single" w:sz="4" w:space="0" w:color="30AEB9"/>
          <w:left w:val="single" w:sz="4" w:space="0" w:color="30AEB9"/>
          <w:bottom w:val="single" w:sz="4" w:space="0" w:color="30AEB9"/>
          <w:right w:val="single" w:sz="4" w:space="0" w:color="30AEB9"/>
          <w:insideH w:val="single" w:sz="4" w:space="0" w:color="30AEB9"/>
          <w:insideV w:val="single" w:sz="4" w:space="0" w:color="30AEB9"/>
        </w:tblBorders>
        <w:tblLook w:val="04A0" w:firstRow="1" w:lastRow="0" w:firstColumn="1" w:lastColumn="0" w:noHBand="0" w:noVBand="1"/>
      </w:tblPr>
      <w:tblGrid>
        <w:gridCol w:w="3964"/>
        <w:gridCol w:w="5103"/>
      </w:tblGrid>
      <w:tr w:rsidR="007625FD" w:rsidRPr="00C45B29" w14:paraId="0CA59952" w14:textId="77777777" w:rsidTr="00EB317C">
        <w:trPr>
          <w:trHeight w:val="567"/>
        </w:trPr>
        <w:tc>
          <w:tcPr>
            <w:tcW w:w="3964" w:type="dxa"/>
            <w:vAlign w:val="center"/>
          </w:tcPr>
          <w:p w14:paraId="056B2617" w14:textId="77777777" w:rsidR="007625FD" w:rsidRPr="00C45B29" w:rsidRDefault="007625FD" w:rsidP="00EB317C">
            <w:pPr>
              <w:spacing w:line="276" w:lineRule="auto"/>
              <w:jc w:val="both"/>
              <w:rPr>
                <w:rFonts w:cstheme="minorHAnsi"/>
              </w:rPr>
            </w:pPr>
            <w:r w:rsidRPr="00C45B29">
              <w:rPr>
                <w:rFonts w:cstheme="minorHAnsi"/>
                <w:b/>
              </w:rPr>
              <w:t>Name</w:t>
            </w:r>
          </w:p>
        </w:tc>
        <w:tc>
          <w:tcPr>
            <w:tcW w:w="5103" w:type="dxa"/>
            <w:vAlign w:val="center"/>
          </w:tcPr>
          <w:p w14:paraId="7AA0FA0C" w14:textId="77777777" w:rsidR="007625FD" w:rsidRPr="00C45B29" w:rsidRDefault="007625FD" w:rsidP="00EB317C">
            <w:pPr>
              <w:spacing w:line="276" w:lineRule="auto"/>
              <w:jc w:val="both"/>
              <w:rPr>
                <w:rFonts w:cstheme="minorHAnsi"/>
              </w:rPr>
            </w:pPr>
          </w:p>
        </w:tc>
      </w:tr>
      <w:tr w:rsidR="007625FD" w:rsidRPr="00C45B29" w14:paraId="7162501B" w14:textId="77777777" w:rsidTr="00EB317C">
        <w:trPr>
          <w:trHeight w:val="567"/>
        </w:trPr>
        <w:tc>
          <w:tcPr>
            <w:tcW w:w="3964" w:type="dxa"/>
            <w:vAlign w:val="center"/>
          </w:tcPr>
          <w:p w14:paraId="47F7951D" w14:textId="77777777" w:rsidR="007625FD" w:rsidRPr="00DA7FD4" w:rsidRDefault="007625FD" w:rsidP="00EB317C">
            <w:pPr>
              <w:spacing w:line="276" w:lineRule="auto"/>
              <w:jc w:val="both"/>
              <w:rPr>
                <w:rFonts w:cstheme="minorHAnsi"/>
                <w:b/>
                <w:bCs/>
              </w:rPr>
            </w:pPr>
            <w:r w:rsidRPr="00DA7FD4">
              <w:rPr>
                <w:rFonts w:cstheme="minorHAnsi"/>
                <w:b/>
                <w:bCs/>
              </w:rPr>
              <w:t>Email Address</w:t>
            </w:r>
          </w:p>
        </w:tc>
        <w:tc>
          <w:tcPr>
            <w:tcW w:w="5103" w:type="dxa"/>
            <w:vAlign w:val="center"/>
          </w:tcPr>
          <w:p w14:paraId="00204777" w14:textId="77777777" w:rsidR="007625FD" w:rsidRPr="00C45B29" w:rsidRDefault="007625FD" w:rsidP="00EB317C">
            <w:pPr>
              <w:spacing w:line="276" w:lineRule="auto"/>
              <w:jc w:val="both"/>
              <w:rPr>
                <w:rFonts w:cstheme="minorHAnsi"/>
              </w:rPr>
            </w:pPr>
          </w:p>
        </w:tc>
      </w:tr>
      <w:tr w:rsidR="007625FD" w:rsidRPr="00C45B29" w14:paraId="3C862393" w14:textId="77777777" w:rsidTr="00EB317C">
        <w:trPr>
          <w:trHeight w:val="567"/>
        </w:trPr>
        <w:tc>
          <w:tcPr>
            <w:tcW w:w="3964" w:type="dxa"/>
            <w:vAlign w:val="center"/>
          </w:tcPr>
          <w:p w14:paraId="63A81EA2" w14:textId="77777777" w:rsidR="007625FD" w:rsidRPr="00DA7FD4" w:rsidRDefault="007625FD" w:rsidP="00EB317C">
            <w:pPr>
              <w:spacing w:line="276" w:lineRule="auto"/>
              <w:jc w:val="both"/>
              <w:rPr>
                <w:rFonts w:cstheme="minorHAnsi"/>
                <w:b/>
                <w:bCs/>
              </w:rPr>
            </w:pPr>
            <w:r w:rsidRPr="00DA7FD4">
              <w:rPr>
                <w:rFonts w:cstheme="minorHAnsi"/>
                <w:b/>
                <w:bCs/>
              </w:rPr>
              <w:t>Company</w:t>
            </w:r>
          </w:p>
        </w:tc>
        <w:tc>
          <w:tcPr>
            <w:tcW w:w="5103" w:type="dxa"/>
            <w:vAlign w:val="center"/>
          </w:tcPr>
          <w:p w14:paraId="43AC1A9F" w14:textId="77777777" w:rsidR="007625FD" w:rsidRPr="00C45B29" w:rsidRDefault="007625FD" w:rsidP="00EB317C">
            <w:pPr>
              <w:spacing w:line="276" w:lineRule="auto"/>
              <w:jc w:val="both"/>
              <w:rPr>
                <w:rFonts w:cstheme="minorHAnsi"/>
              </w:rPr>
            </w:pPr>
          </w:p>
        </w:tc>
      </w:tr>
      <w:tr w:rsidR="007625FD" w:rsidRPr="00C45B29" w14:paraId="4036C45B" w14:textId="77777777" w:rsidTr="00EB317C">
        <w:trPr>
          <w:trHeight w:val="567"/>
        </w:trPr>
        <w:tc>
          <w:tcPr>
            <w:tcW w:w="3964" w:type="dxa"/>
            <w:vAlign w:val="center"/>
          </w:tcPr>
          <w:p w14:paraId="010F81C4" w14:textId="77777777" w:rsidR="007625FD" w:rsidRPr="00DA7FD4" w:rsidRDefault="007625FD" w:rsidP="00EB317C">
            <w:pPr>
              <w:spacing w:line="276" w:lineRule="auto"/>
              <w:jc w:val="both"/>
              <w:rPr>
                <w:rFonts w:cstheme="minorHAnsi"/>
                <w:b/>
                <w:bCs/>
              </w:rPr>
            </w:pPr>
            <w:r w:rsidRPr="00DA7FD4">
              <w:rPr>
                <w:rFonts w:cstheme="minorHAnsi"/>
                <w:b/>
                <w:bCs/>
              </w:rPr>
              <w:t xml:space="preserve">Country </w:t>
            </w:r>
          </w:p>
        </w:tc>
        <w:tc>
          <w:tcPr>
            <w:tcW w:w="5103" w:type="dxa"/>
            <w:vAlign w:val="center"/>
          </w:tcPr>
          <w:p w14:paraId="4AF1FAFE" w14:textId="77777777" w:rsidR="007625FD" w:rsidRPr="00C45B29" w:rsidRDefault="007625FD" w:rsidP="00EB317C">
            <w:pPr>
              <w:spacing w:line="276" w:lineRule="auto"/>
              <w:jc w:val="both"/>
              <w:rPr>
                <w:rFonts w:cstheme="minorHAnsi"/>
              </w:rPr>
            </w:pPr>
          </w:p>
        </w:tc>
      </w:tr>
      <w:tr w:rsidR="007625FD" w:rsidRPr="00C45B29" w14:paraId="14FC4FBF" w14:textId="77777777" w:rsidTr="00EB317C">
        <w:trPr>
          <w:trHeight w:val="567"/>
        </w:trPr>
        <w:tc>
          <w:tcPr>
            <w:tcW w:w="3964" w:type="dxa"/>
            <w:vAlign w:val="center"/>
          </w:tcPr>
          <w:p w14:paraId="1017B373" w14:textId="77777777" w:rsidR="007625FD" w:rsidRPr="00DA7FD4" w:rsidRDefault="007625FD" w:rsidP="00EB317C">
            <w:pPr>
              <w:spacing w:line="276" w:lineRule="auto"/>
              <w:jc w:val="both"/>
              <w:rPr>
                <w:rFonts w:cstheme="minorHAnsi"/>
                <w:b/>
                <w:bCs/>
              </w:rPr>
            </w:pPr>
            <w:r w:rsidRPr="00DA7FD4">
              <w:rPr>
                <w:rFonts w:cstheme="minorHAnsi"/>
                <w:b/>
                <w:bCs/>
              </w:rPr>
              <w:t>Company Type</w:t>
            </w:r>
          </w:p>
        </w:tc>
        <w:sdt>
          <w:sdtPr>
            <w:rPr>
              <w:rFonts w:cstheme="minorHAnsi"/>
            </w:rPr>
            <w:id w:val="-58944712"/>
            <w:placeholder>
              <w:docPart w:val="D9DCEE5A208B4CF681E93ADE54D75375"/>
            </w:placeholder>
            <w:showingPlcHdr/>
            <w:comboBox>
              <w:listItem w:displayText="Approved Publications Arrangement (APA)" w:value="Approved Publications Arrangement (APA)"/>
              <w:listItem w:displayText="Approved Reporting Mechanism (ARM)" w:value="Approved Reporting Mechanism (ARM)"/>
              <w:listItem w:displayText="Broker" w:value="Broker"/>
              <w:listItem w:displayText="Buy Side Investment Firm" w:value="Buy Side Investment Firm"/>
              <w:listItem w:displayText="Clearing House" w:value="Clearing House"/>
              <w:listItem w:displayText="Consultant" w:value="Consultant"/>
              <w:listItem w:displayText="Corporate" w:value="Corporate"/>
              <w:listItem w:displayText="Credit Union" w:value="Credit Union"/>
              <w:listItem w:displayText="Data Vendor" w:value="Data Vendor"/>
              <w:listItem w:displayText="Financial" w:value="Financial"/>
              <w:listItem w:displayText="Individual" w:value="Individual"/>
              <w:listItem w:displayText="Law Firm" w:value="Law Firm"/>
              <w:listItem w:displayText="Multilateral Trading Facility (MTF)" w:value="Multilateral Trading Facility (MTF)"/>
              <w:listItem w:displayText="Organised Trading Facility (OTF)" w:value="Organised Trading Facility (OTF)"/>
              <w:listItem w:displayText="Other" w:value="Other"/>
              <w:listItem w:displayText="Other Intermediary" w:value="Other Intermediary"/>
              <w:listItem w:displayText="Regulated Market" w:value="Regulated Market"/>
              <w:listItem w:displayText="Regulator" w:value="Regulator"/>
              <w:listItem w:displayText="Research Consultancy" w:value="Research Consultancy"/>
              <w:listItem w:displayText="Sell Side Investment firm" w:value="Sell Side Investment firm"/>
              <w:listItem w:displayText="Spread betting firm" w:value="Spread betting firm"/>
              <w:listItem w:displayText="Systematic Internatiliser" w:value="Systematic Internatiliser"/>
              <w:listItem w:displayText="Tech shop" w:value="Tech shop"/>
              <w:listItem w:displayText="Trade Association" w:value="Trade Association"/>
              <w:listItem w:displayText="Wealth Management Services" w:value="Wealth Management Services"/>
            </w:comboBox>
          </w:sdtPr>
          <w:sdtEndPr/>
          <w:sdtContent>
            <w:tc>
              <w:tcPr>
                <w:tcW w:w="5103" w:type="dxa"/>
                <w:vAlign w:val="center"/>
              </w:tcPr>
              <w:p w14:paraId="784BF4D4" w14:textId="77777777" w:rsidR="007625FD" w:rsidRPr="00C45B29" w:rsidRDefault="007625FD" w:rsidP="00EB317C">
                <w:pPr>
                  <w:spacing w:line="276" w:lineRule="auto"/>
                  <w:jc w:val="both"/>
                  <w:rPr>
                    <w:rFonts w:cstheme="minorHAnsi"/>
                  </w:rPr>
                </w:pPr>
                <w:r w:rsidRPr="00C45B29">
                  <w:rPr>
                    <w:rFonts w:cstheme="minorHAnsi"/>
                  </w:rPr>
                  <w:t>Select Type</w:t>
                </w:r>
              </w:p>
            </w:tc>
          </w:sdtContent>
        </w:sdt>
      </w:tr>
      <w:tr w:rsidR="007625FD" w:rsidRPr="00C45B29" w14:paraId="5762EEA5" w14:textId="77777777" w:rsidTr="00EB317C">
        <w:trPr>
          <w:trHeight w:val="567"/>
        </w:trPr>
        <w:tc>
          <w:tcPr>
            <w:tcW w:w="3964" w:type="dxa"/>
            <w:vAlign w:val="center"/>
          </w:tcPr>
          <w:p w14:paraId="2E8C0710" w14:textId="77777777" w:rsidR="007625FD" w:rsidRPr="00DA7FD4" w:rsidRDefault="007625FD" w:rsidP="00EB317C">
            <w:pPr>
              <w:spacing w:line="276" w:lineRule="auto"/>
              <w:jc w:val="both"/>
              <w:rPr>
                <w:rFonts w:cstheme="minorHAnsi"/>
                <w:b/>
                <w:bCs/>
              </w:rPr>
            </w:pPr>
            <w:r w:rsidRPr="00DA7FD4" w:rsidDel="002D02D6">
              <w:rPr>
                <w:rFonts w:cstheme="minorHAnsi"/>
                <w:b/>
                <w:bCs/>
              </w:rPr>
              <w:t>User Type</w:t>
            </w:r>
          </w:p>
        </w:tc>
        <w:sdt>
          <w:sdtPr>
            <w:rPr>
              <w:rFonts w:cstheme="minorHAnsi"/>
            </w:rPr>
            <w:alias w:val="User Type"/>
            <w:tag w:val="User Type"/>
            <w:id w:val="848065618"/>
            <w:placeholder>
              <w:docPart w:val="D22C200EB1F24502B25AEE7B8C6D29B5"/>
            </w:placeholder>
            <w:showingPlcHdr/>
            <w:comboBox>
              <w:listItem w:displayText="Power" w:value="Power"/>
              <w:listItem w:displayText="Standard" w:value="Standard"/>
              <w:listItem w:displayText="Infrequent" w:value="Infrequent"/>
              <w:listItem w:displayText="Registered" w:value="Registered"/>
              <w:listItem w:displayText="Not Registered" w:value="Not Registered"/>
            </w:comboBox>
          </w:sdtPr>
          <w:sdtEndPr/>
          <w:sdtContent>
            <w:tc>
              <w:tcPr>
                <w:tcW w:w="5103" w:type="dxa"/>
                <w:vAlign w:val="center"/>
              </w:tcPr>
              <w:p w14:paraId="4CF7BEE3" w14:textId="77777777" w:rsidR="007625FD" w:rsidRPr="00C45B29" w:rsidRDefault="007625FD" w:rsidP="00EB317C">
                <w:pPr>
                  <w:spacing w:line="276" w:lineRule="auto"/>
                  <w:jc w:val="both"/>
                  <w:rPr>
                    <w:rFonts w:cstheme="minorHAnsi"/>
                  </w:rPr>
                </w:pPr>
                <w:r w:rsidRPr="00C45B29">
                  <w:rPr>
                    <w:rFonts w:cstheme="minorHAnsi"/>
                  </w:rPr>
                  <w:t>Select Type</w:t>
                </w:r>
              </w:p>
            </w:tc>
          </w:sdtContent>
        </w:sdt>
      </w:tr>
      <w:tr w:rsidR="007625FD" w:rsidRPr="00C45B29" w14:paraId="68E5DD1A" w14:textId="77777777" w:rsidTr="00EB317C">
        <w:trPr>
          <w:trHeight w:val="567"/>
        </w:trPr>
        <w:tc>
          <w:tcPr>
            <w:tcW w:w="3964" w:type="dxa"/>
            <w:vAlign w:val="center"/>
          </w:tcPr>
          <w:p w14:paraId="096A042A" w14:textId="77777777" w:rsidR="007625FD" w:rsidRPr="00DA7FD4" w:rsidRDefault="007625FD" w:rsidP="00EB317C">
            <w:pPr>
              <w:spacing w:line="276" w:lineRule="auto"/>
              <w:jc w:val="both"/>
              <w:rPr>
                <w:rFonts w:cstheme="minorHAnsi"/>
                <w:b/>
                <w:bCs/>
              </w:rPr>
            </w:pPr>
            <w:r w:rsidRPr="00DA7FD4">
              <w:rPr>
                <w:rFonts w:cstheme="minorHAnsi"/>
                <w:b/>
                <w:bCs/>
              </w:rPr>
              <w:t>Select if response should be anonymous</w:t>
            </w:r>
          </w:p>
        </w:tc>
        <w:tc>
          <w:tcPr>
            <w:tcW w:w="5103" w:type="dxa"/>
            <w:vAlign w:val="center"/>
          </w:tcPr>
          <w:p w14:paraId="432E7907" w14:textId="77777777" w:rsidR="007625FD" w:rsidRPr="00C45B29" w:rsidRDefault="007625FD" w:rsidP="00EB317C">
            <w:pPr>
              <w:spacing w:line="276" w:lineRule="auto"/>
              <w:jc w:val="both"/>
              <w:rPr>
                <w:rFonts w:cstheme="minorHAnsi"/>
              </w:rPr>
            </w:pPr>
            <w:r w:rsidRPr="00C45B29">
              <w:rPr>
                <w:rFonts w:ascii="Segoe UI Symbol" w:hAnsi="Segoe UI Symbol" w:cs="Segoe UI Symbol"/>
                <w:color w:val="000000"/>
              </w:rPr>
              <w:t>☐</w:t>
            </w:r>
          </w:p>
        </w:tc>
      </w:tr>
      <w:tr w:rsidR="007625FD" w:rsidRPr="00C45B29" w14:paraId="04E6F3AE" w14:textId="77777777" w:rsidTr="00EB317C">
        <w:trPr>
          <w:trHeight w:val="2509"/>
        </w:trPr>
        <w:tc>
          <w:tcPr>
            <w:tcW w:w="3964" w:type="dxa"/>
            <w:vAlign w:val="center"/>
          </w:tcPr>
          <w:p w14:paraId="55602D4C" w14:textId="77777777" w:rsidR="007625FD" w:rsidRPr="00DA7FD4" w:rsidRDefault="007625FD" w:rsidP="00EB317C">
            <w:pPr>
              <w:spacing w:line="276" w:lineRule="auto"/>
              <w:jc w:val="both"/>
              <w:rPr>
                <w:rFonts w:cstheme="minorHAnsi"/>
                <w:b/>
                <w:bCs/>
              </w:rPr>
            </w:pPr>
            <w:r>
              <w:rPr>
                <w:rFonts w:cstheme="minorHAnsi"/>
                <w:b/>
                <w:bCs/>
              </w:rPr>
              <w:t xml:space="preserve">Please indicate which DSB service you expect to use in the future </w:t>
            </w:r>
          </w:p>
        </w:tc>
        <w:tc>
          <w:tcPr>
            <w:tcW w:w="5103" w:type="dxa"/>
            <w:vAlign w:val="center"/>
          </w:tcPr>
          <w:p w14:paraId="65B6AA4D" w14:textId="395417BE" w:rsidR="007625FD" w:rsidRDefault="007625FD" w:rsidP="00EB317C">
            <w:pPr>
              <w:spacing w:before="120" w:after="120" w:line="276" w:lineRule="auto"/>
              <w:jc w:val="both"/>
              <w:rPr>
                <w:rFonts w:ascii="Segoe UI Symbol" w:hAnsi="Segoe UI Symbol" w:cs="Segoe UI Symbol"/>
                <w:color w:val="000000"/>
              </w:rPr>
            </w:pPr>
            <w:r w:rsidRPr="00C45B29">
              <w:rPr>
                <w:rFonts w:ascii="Segoe UI Symbol" w:hAnsi="Segoe UI Symbol" w:cs="Segoe UI Symbol"/>
                <w:color w:val="000000"/>
              </w:rPr>
              <w:t>☐</w:t>
            </w:r>
            <w:r>
              <w:rPr>
                <w:rFonts w:ascii="Segoe UI Symbol" w:hAnsi="Segoe UI Symbol" w:cs="Segoe UI Symbol"/>
                <w:color w:val="000000"/>
              </w:rPr>
              <w:t xml:space="preserve"> </w:t>
            </w:r>
            <w:r w:rsidR="00F07F21">
              <w:rPr>
                <w:rFonts w:ascii="Segoe UI Symbol" w:hAnsi="Segoe UI Symbol" w:cs="Segoe UI Symbol"/>
                <w:color w:val="000000"/>
              </w:rPr>
              <w:t>UPI Service</w:t>
            </w:r>
            <w:r>
              <w:rPr>
                <w:rFonts w:ascii="Segoe UI Symbol" w:hAnsi="Segoe UI Symbol" w:cs="Segoe UI Symbol"/>
                <w:color w:val="000000"/>
              </w:rPr>
              <w:t xml:space="preserve"> only </w:t>
            </w:r>
          </w:p>
          <w:p w14:paraId="2BB0492E" w14:textId="59B1A7BC" w:rsidR="007625FD" w:rsidRDefault="007625FD" w:rsidP="00EB317C">
            <w:pPr>
              <w:spacing w:after="120" w:line="276" w:lineRule="auto"/>
              <w:jc w:val="both"/>
              <w:rPr>
                <w:rFonts w:ascii="Segoe UI Symbol" w:hAnsi="Segoe UI Symbol" w:cs="Segoe UI Symbol"/>
                <w:color w:val="000000"/>
              </w:rPr>
            </w:pPr>
            <w:r w:rsidRPr="00C45B29">
              <w:rPr>
                <w:rFonts w:ascii="Segoe UI Symbol" w:hAnsi="Segoe UI Symbol" w:cs="Segoe UI Symbol"/>
                <w:color w:val="000000"/>
              </w:rPr>
              <w:t>☐</w:t>
            </w:r>
            <w:r>
              <w:rPr>
                <w:rFonts w:ascii="Segoe UI Symbol" w:hAnsi="Segoe UI Symbol" w:cs="Segoe UI Symbol"/>
                <w:color w:val="000000"/>
              </w:rPr>
              <w:t xml:space="preserve"> OTC ISIN + </w:t>
            </w:r>
            <w:r w:rsidR="00F07F21">
              <w:rPr>
                <w:rFonts w:ascii="Segoe UI Symbol" w:hAnsi="Segoe UI Symbol" w:cs="Segoe UI Symbol"/>
                <w:color w:val="000000"/>
              </w:rPr>
              <w:t>UPI Service</w:t>
            </w:r>
            <w:r>
              <w:rPr>
                <w:rFonts w:ascii="Segoe UI Symbol" w:hAnsi="Segoe UI Symbol" w:cs="Segoe UI Symbol"/>
                <w:color w:val="000000"/>
              </w:rPr>
              <w:t xml:space="preserve"> </w:t>
            </w:r>
          </w:p>
          <w:p w14:paraId="24F43132" w14:textId="58FA8BD3" w:rsidR="007625FD" w:rsidRDefault="007625FD" w:rsidP="00EB317C">
            <w:pPr>
              <w:spacing w:after="120" w:line="276" w:lineRule="auto"/>
              <w:jc w:val="both"/>
              <w:rPr>
                <w:rFonts w:ascii="Segoe UI Symbol" w:hAnsi="Segoe UI Symbol" w:cs="Segoe UI Symbol"/>
                <w:color w:val="000000"/>
              </w:rPr>
            </w:pPr>
            <w:r w:rsidRPr="00C45B29">
              <w:rPr>
                <w:rFonts w:ascii="Segoe UI Symbol" w:hAnsi="Segoe UI Symbol" w:cs="Segoe UI Symbol"/>
                <w:color w:val="000000"/>
              </w:rPr>
              <w:t>☐</w:t>
            </w:r>
            <w:r>
              <w:rPr>
                <w:rFonts w:ascii="Segoe UI Symbol" w:hAnsi="Segoe UI Symbol" w:cs="Segoe UI Symbol"/>
                <w:color w:val="000000"/>
              </w:rPr>
              <w:t xml:space="preserve"> OTC </w:t>
            </w:r>
            <w:r w:rsidR="00F07F21">
              <w:rPr>
                <w:rFonts w:ascii="Segoe UI Symbol" w:hAnsi="Segoe UI Symbol" w:cs="Segoe UI Symbol"/>
                <w:color w:val="000000"/>
              </w:rPr>
              <w:t>ISIN Service</w:t>
            </w:r>
            <w:r>
              <w:rPr>
                <w:rFonts w:ascii="Segoe UI Symbol" w:hAnsi="Segoe UI Symbol" w:cs="Segoe UI Symbol"/>
                <w:color w:val="000000"/>
              </w:rPr>
              <w:t xml:space="preserve"> only </w:t>
            </w:r>
          </w:p>
          <w:p w14:paraId="47100994" w14:textId="77777777" w:rsidR="007625FD" w:rsidRDefault="007625FD" w:rsidP="00EB317C">
            <w:pPr>
              <w:spacing w:after="120" w:line="276" w:lineRule="auto"/>
              <w:jc w:val="both"/>
              <w:rPr>
                <w:rFonts w:ascii="Segoe UI Symbol" w:hAnsi="Segoe UI Symbol" w:cs="Segoe UI Symbol"/>
                <w:color w:val="000000"/>
              </w:rPr>
            </w:pPr>
            <w:r w:rsidRPr="00C45B29">
              <w:rPr>
                <w:rFonts w:ascii="Segoe UI Symbol" w:hAnsi="Segoe UI Symbol" w:cs="Segoe UI Symbol"/>
                <w:color w:val="000000"/>
              </w:rPr>
              <w:t>☐</w:t>
            </w:r>
            <w:r>
              <w:rPr>
                <w:rFonts w:ascii="Segoe UI Symbol" w:hAnsi="Segoe UI Symbol" w:cs="Segoe UI Symbol"/>
                <w:color w:val="000000"/>
              </w:rPr>
              <w:t xml:space="preserve"> Not sure </w:t>
            </w:r>
          </w:p>
          <w:p w14:paraId="4D4C585E" w14:textId="77777777" w:rsidR="007625FD" w:rsidRPr="00C45B29" w:rsidRDefault="007625FD" w:rsidP="00EB317C">
            <w:pPr>
              <w:spacing w:after="120" w:line="276" w:lineRule="auto"/>
              <w:jc w:val="both"/>
              <w:rPr>
                <w:rFonts w:ascii="Segoe UI Symbol" w:hAnsi="Segoe UI Symbol" w:cs="Segoe UI Symbol"/>
                <w:color w:val="000000"/>
              </w:rPr>
            </w:pPr>
            <w:r w:rsidRPr="00C45B29">
              <w:rPr>
                <w:rFonts w:ascii="Segoe UI Symbol" w:hAnsi="Segoe UI Symbol" w:cs="Segoe UI Symbol"/>
                <w:color w:val="000000"/>
              </w:rPr>
              <w:t>☐</w:t>
            </w:r>
            <w:r>
              <w:rPr>
                <w:rFonts w:ascii="Segoe UI Symbol" w:hAnsi="Segoe UI Symbol" w:cs="Segoe UI Symbol"/>
                <w:color w:val="000000"/>
              </w:rPr>
              <w:t xml:space="preserve"> None of the above </w:t>
            </w:r>
          </w:p>
        </w:tc>
      </w:tr>
    </w:tbl>
    <w:p w14:paraId="2B1F1269" w14:textId="77777777" w:rsidR="007625FD" w:rsidRDefault="007625FD" w:rsidP="007625FD">
      <w:pPr>
        <w:spacing w:after="0"/>
        <w:rPr>
          <w:rFonts w:asciiTheme="majorHAnsi" w:eastAsiaTheme="majorEastAsia" w:hAnsiTheme="majorHAnsi" w:cstheme="majorBidi"/>
          <w:color w:val="365F91" w:themeColor="accent1" w:themeShade="BF"/>
          <w:sz w:val="32"/>
          <w:szCs w:val="32"/>
        </w:rPr>
      </w:pPr>
    </w:p>
    <w:tbl>
      <w:tblPr>
        <w:tblStyle w:val="TableGrid"/>
        <w:tblW w:w="13603" w:type="dxa"/>
        <w:tblBorders>
          <w:top w:val="single" w:sz="4" w:space="0" w:color="30AEB9"/>
          <w:left w:val="single" w:sz="4" w:space="0" w:color="30AEB9"/>
          <w:bottom w:val="single" w:sz="4" w:space="0" w:color="30AEB9"/>
          <w:right w:val="single" w:sz="4" w:space="0" w:color="30AEB9"/>
          <w:insideH w:val="single" w:sz="4" w:space="0" w:color="30AEB9"/>
          <w:insideV w:val="single" w:sz="4" w:space="0" w:color="30AEB9"/>
        </w:tblBorders>
        <w:tblLook w:val="04A0" w:firstRow="1" w:lastRow="0" w:firstColumn="1" w:lastColumn="0" w:noHBand="0" w:noVBand="1"/>
      </w:tblPr>
      <w:tblGrid>
        <w:gridCol w:w="704"/>
        <w:gridCol w:w="7938"/>
        <w:gridCol w:w="4961"/>
      </w:tblGrid>
      <w:tr w:rsidR="007625FD" w:rsidRPr="00DB7576" w14:paraId="02C54BA3" w14:textId="77777777" w:rsidTr="00307739">
        <w:trPr>
          <w:tblHeader/>
        </w:trPr>
        <w:tc>
          <w:tcPr>
            <w:tcW w:w="704" w:type="dxa"/>
            <w:shd w:val="clear" w:color="auto" w:fill="30AEB9"/>
            <w:vAlign w:val="center"/>
          </w:tcPr>
          <w:p w14:paraId="62120276" w14:textId="77777777" w:rsidR="007625FD" w:rsidRPr="00DB7576" w:rsidRDefault="007625FD" w:rsidP="00EB317C">
            <w:pPr>
              <w:spacing w:line="276" w:lineRule="auto"/>
              <w:rPr>
                <w:rFonts w:cstheme="minorHAnsi"/>
                <w:b/>
                <w:bCs/>
                <w:color w:val="FFFFFF" w:themeColor="background1"/>
              </w:rPr>
            </w:pPr>
            <w:r w:rsidRPr="00DB7576">
              <w:rPr>
                <w:rFonts w:cstheme="minorHAnsi"/>
                <w:b/>
                <w:bCs/>
                <w:color w:val="FFFFFF" w:themeColor="background1"/>
              </w:rPr>
              <w:t>Q#</w:t>
            </w:r>
          </w:p>
        </w:tc>
        <w:tc>
          <w:tcPr>
            <w:tcW w:w="7938" w:type="dxa"/>
            <w:shd w:val="clear" w:color="auto" w:fill="30AEB9"/>
            <w:vAlign w:val="center"/>
          </w:tcPr>
          <w:p w14:paraId="67F54B2C" w14:textId="614697A6" w:rsidR="007625FD" w:rsidRPr="00307739" w:rsidRDefault="006B163C" w:rsidP="00EB317C">
            <w:pPr>
              <w:spacing w:line="276" w:lineRule="auto"/>
              <w:rPr>
                <w:rFonts w:cstheme="minorHAnsi"/>
                <w:color w:val="FFFFFF" w:themeColor="background1"/>
              </w:rPr>
            </w:pPr>
            <w:r w:rsidRPr="00307739">
              <w:rPr>
                <w:rFonts w:cstheme="minorHAnsi"/>
                <w:color w:val="FFFFFF" w:themeColor="background1"/>
              </w:rPr>
              <w:t xml:space="preserve">Summary / </w:t>
            </w:r>
            <w:r w:rsidR="007625FD" w:rsidRPr="00307739">
              <w:rPr>
                <w:rFonts w:cstheme="minorHAnsi"/>
                <w:color w:val="FFFFFF" w:themeColor="background1"/>
              </w:rPr>
              <w:t>Question</w:t>
            </w:r>
          </w:p>
        </w:tc>
        <w:tc>
          <w:tcPr>
            <w:tcW w:w="4961" w:type="dxa"/>
            <w:shd w:val="clear" w:color="auto" w:fill="30AEB9"/>
            <w:vAlign w:val="center"/>
          </w:tcPr>
          <w:p w14:paraId="4851BCD0" w14:textId="77777777" w:rsidR="007625FD" w:rsidRPr="00DB7576" w:rsidRDefault="007625FD" w:rsidP="00EB317C">
            <w:pPr>
              <w:spacing w:line="276" w:lineRule="auto"/>
              <w:rPr>
                <w:rFonts w:cstheme="minorHAnsi"/>
                <w:b/>
                <w:bCs/>
                <w:color w:val="FFFFFF" w:themeColor="background1"/>
              </w:rPr>
            </w:pPr>
            <w:r w:rsidRPr="00DB7576">
              <w:rPr>
                <w:rFonts w:cstheme="minorHAnsi"/>
                <w:b/>
                <w:bCs/>
                <w:color w:val="FFFFFF" w:themeColor="background1"/>
              </w:rPr>
              <w:t>Response</w:t>
            </w:r>
          </w:p>
        </w:tc>
      </w:tr>
      <w:tr w:rsidR="00751C02" w:rsidRPr="00DB7576" w14:paraId="4274EEB9" w14:textId="77777777" w:rsidTr="00307739">
        <w:trPr>
          <w:trHeight w:val="1125"/>
        </w:trPr>
        <w:tc>
          <w:tcPr>
            <w:tcW w:w="704" w:type="dxa"/>
            <w:vAlign w:val="center"/>
          </w:tcPr>
          <w:p w14:paraId="562CFE60" w14:textId="3311744F" w:rsidR="00751C02" w:rsidRPr="00DB7576" w:rsidRDefault="004D120A" w:rsidP="00F610E2">
            <w:pPr>
              <w:rPr>
                <w:rFonts w:cstheme="minorHAnsi"/>
              </w:rPr>
            </w:pPr>
            <w:r>
              <w:rPr>
                <w:rFonts w:cstheme="minorHAnsi"/>
              </w:rPr>
              <w:t>1</w:t>
            </w:r>
          </w:p>
        </w:tc>
        <w:tc>
          <w:tcPr>
            <w:tcW w:w="7938" w:type="dxa"/>
            <w:vAlign w:val="center"/>
          </w:tcPr>
          <w:p w14:paraId="14074D5D" w14:textId="77777777" w:rsidR="00751C02" w:rsidRPr="00307739" w:rsidRDefault="00ED5A66" w:rsidP="00F610E2">
            <w:pPr>
              <w:rPr>
                <w:b/>
                <w:bCs/>
              </w:rPr>
            </w:pPr>
            <w:r w:rsidRPr="00307739">
              <w:rPr>
                <w:b/>
                <w:bCs/>
              </w:rPr>
              <w:t>Client Onboarding and Support Platform (COSP)</w:t>
            </w:r>
          </w:p>
          <w:p w14:paraId="75F64C0C" w14:textId="77777777" w:rsidR="005509B3" w:rsidRPr="004D2B55" w:rsidRDefault="005509B3" w:rsidP="005509B3">
            <w:pPr>
              <w:jc w:val="both"/>
              <w:rPr>
                <w:lang w:val="en-GB"/>
              </w:rPr>
            </w:pPr>
          </w:p>
          <w:p w14:paraId="0BA22F8D" w14:textId="40D4B8A9" w:rsidR="002F55AC" w:rsidRDefault="002F55AC" w:rsidP="002F55AC">
            <w:pPr>
              <w:jc w:val="both"/>
            </w:pPr>
            <w:r>
              <w:rPr>
                <w:lang w:val="en-GB"/>
              </w:rPr>
              <w:t xml:space="preserve">Given the G20 mandate for the introduction of a UPI, it is expected that there will be global demand for the </w:t>
            </w:r>
            <w:r w:rsidR="00F07F21">
              <w:rPr>
                <w:lang w:val="en-GB"/>
              </w:rPr>
              <w:t>UPI Service</w:t>
            </w:r>
            <w:r>
              <w:rPr>
                <w:lang w:val="en-GB"/>
              </w:rPr>
              <w:t>, the DSB is therefore in the process of implementing a scalable online</w:t>
            </w:r>
            <w:r w:rsidRPr="00375850">
              <w:rPr>
                <w:lang w:val="en-GB"/>
              </w:rPr>
              <w:t xml:space="preserve"> </w:t>
            </w:r>
            <w:r>
              <w:rPr>
                <w:lang w:val="en-GB"/>
              </w:rPr>
              <w:t>platform</w:t>
            </w:r>
            <w:r w:rsidRPr="00375850">
              <w:rPr>
                <w:lang w:val="en-GB"/>
              </w:rPr>
              <w:t xml:space="preserve"> to allow </w:t>
            </w:r>
            <w:r>
              <w:rPr>
                <w:lang w:val="en-GB"/>
              </w:rPr>
              <w:t xml:space="preserve">fee-paying </w:t>
            </w:r>
            <w:r w:rsidRPr="00375850">
              <w:rPr>
                <w:lang w:val="en-GB"/>
              </w:rPr>
              <w:t xml:space="preserve">UPI </w:t>
            </w:r>
            <w:r>
              <w:rPr>
                <w:lang w:val="en-GB"/>
              </w:rPr>
              <w:t>Users</w:t>
            </w:r>
            <w:r w:rsidRPr="00375850">
              <w:rPr>
                <w:lang w:val="en-GB"/>
              </w:rPr>
              <w:t xml:space="preserve"> to </w:t>
            </w:r>
            <w:r>
              <w:rPr>
                <w:lang w:val="en-GB"/>
              </w:rPr>
              <w:t xml:space="preserve">perform the administrative </w:t>
            </w:r>
            <w:r>
              <w:rPr>
                <w:lang w:val="en-GB"/>
              </w:rPr>
              <w:lastRenderedPageBreak/>
              <w:t xml:space="preserve">steps to </w:t>
            </w:r>
            <w:r w:rsidRPr="00375850">
              <w:rPr>
                <w:lang w:val="en-GB"/>
              </w:rPr>
              <w:t xml:space="preserve">onboard </w:t>
            </w:r>
            <w:r>
              <w:rPr>
                <w:lang w:val="en-GB"/>
              </w:rPr>
              <w:t xml:space="preserve">to the service, </w:t>
            </w:r>
            <w:r w:rsidRPr="00375850">
              <w:rPr>
                <w:lang w:val="en-GB"/>
              </w:rPr>
              <w:t xml:space="preserve">and </w:t>
            </w:r>
            <w:r>
              <w:rPr>
                <w:lang w:val="en-GB"/>
              </w:rPr>
              <w:t>then perform ‘in-life management’</w:t>
            </w:r>
            <w:r w:rsidRPr="00375850">
              <w:rPr>
                <w:lang w:val="en-GB"/>
              </w:rPr>
              <w:t xml:space="preserve"> </w:t>
            </w:r>
            <w:r>
              <w:rPr>
                <w:lang w:val="en-GB"/>
              </w:rPr>
              <w:t xml:space="preserve">processes (e.g. upgrade/downgrade, terminations, renewals, the addition of new users within their organization, etc). The online system is referred to as the </w:t>
            </w:r>
            <w:r>
              <w:t>Client Onboarding and Support Platform (COSP).</w:t>
            </w:r>
          </w:p>
          <w:p w14:paraId="6806E61F" w14:textId="77777777" w:rsidR="002F55AC" w:rsidRPr="00375850" w:rsidRDefault="002F55AC" w:rsidP="002F55AC">
            <w:pPr>
              <w:jc w:val="both"/>
              <w:rPr>
                <w:lang w:val="en-GB"/>
              </w:rPr>
            </w:pPr>
            <w:r>
              <w:rPr>
                <w:lang w:val="en-GB"/>
              </w:rPr>
              <w:t>When the COSP and UPI Service are launched, new and existing Users of the OTC ISIN Service</w:t>
            </w:r>
            <w:r w:rsidRPr="00375850">
              <w:rPr>
                <w:lang w:val="en-GB"/>
              </w:rPr>
              <w:t xml:space="preserve"> will continue to use the existing </w:t>
            </w:r>
            <w:r>
              <w:rPr>
                <w:lang w:val="en-GB"/>
              </w:rPr>
              <w:t xml:space="preserve">manual </w:t>
            </w:r>
            <w:r w:rsidRPr="00375850">
              <w:rPr>
                <w:lang w:val="en-GB"/>
              </w:rPr>
              <w:t>OTC ISIN processes</w:t>
            </w:r>
            <w:r>
              <w:rPr>
                <w:lang w:val="en-GB"/>
              </w:rPr>
              <w:t xml:space="preserve"> to onboard and manage their relationship with the DSB. The COSP will initially only be available to UPI Service Users. </w:t>
            </w:r>
          </w:p>
          <w:p w14:paraId="6BB7326A" w14:textId="77777777" w:rsidR="002F55AC" w:rsidRDefault="002F55AC" w:rsidP="002F55AC">
            <w:pPr>
              <w:jc w:val="both"/>
              <w:rPr>
                <w:lang w:val="en-GB"/>
              </w:rPr>
            </w:pPr>
            <w:r>
              <w:rPr>
                <w:lang w:val="en-GB"/>
              </w:rPr>
              <w:t>A roadmap to roll-out the COSP to OTC ISIN Users will be subject to further analysis and stakeholder engagement.</w:t>
            </w:r>
          </w:p>
          <w:p w14:paraId="172797D9" w14:textId="79D8E604" w:rsidR="005509B3" w:rsidRPr="00307739" w:rsidRDefault="005509B3" w:rsidP="00F610E2">
            <w:pPr>
              <w:rPr>
                <w:rStyle w:val="normaltextrun"/>
                <w:lang w:val="en-GB"/>
              </w:rPr>
            </w:pPr>
          </w:p>
        </w:tc>
        <w:tc>
          <w:tcPr>
            <w:tcW w:w="4961" w:type="dxa"/>
            <w:vAlign w:val="center"/>
          </w:tcPr>
          <w:p w14:paraId="64F913AE" w14:textId="77777777" w:rsidR="00751C02" w:rsidRPr="00DB7576" w:rsidRDefault="00751C02" w:rsidP="00F610E2">
            <w:pPr>
              <w:rPr>
                <w:rFonts w:cstheme="minorHAnsi"/>
              </w:rPr>
            </w:pPr>
          </w:p>
        </w:tc>
      </w:tr>
      <w:tr w:rsidR="007625FD" w:rsidRPr="00DB7576" w14:paraId="1107ED89" w14:textId="77777777" w:rsidTr="00307739">
        <w:trPr>
          <w:trHeight w:val="1125"/>
        </w:trPr>
        <w:tc>
          <w:tcPr>
            <w:tcW w:w="704" w:type="dxa"/>
            <w:vAlign w:val="center"/>
          </w:tcPr>
          <w:p w14:paraId="65F3580C" w14:textId="77777777" w:rsidR="007625FD" w:rsidRPr="00DB7576" w:rsidRDefault="007625FD" w:rsidP="00EB317C">
            <w:pPr>
              <w:spacing w:line="276" w:lineRule="auto"/>
              <w:rPr>
                <w:rFonts w:cstheme="minorHAnsi"/>
              </w:rPr>
            </w:pPr>
            <w:r w:rsidRPr="00DB7576">
              <w:rPr>
                <w:rFonts w:cstheme="minorHAnsi"/>
              </w:rPr>
              <w:t>1a</w:t>
            </w:r>
          </w:p>
        </w:tc>
        <w:tc>
          <w:tcPr>
            <w:tcW w:w="7938" w:type="dxa"/>
            <w:vAlign w:val="center"/>
          </w:tcPr>
          <w:p w14:paraId="549DE5AC" w14:textId="6D73BE2F" w:rsidR="007625FD" w:rsidRPr="00C7049B" w:rsidRDefault="00B17732" w:rsidP="00EB317C">
            <w:pPr>
              <w:spacing w:line="276" w:lineRule="auto"/>
              <w:rPr>
                <w:rFonts w:cstheme="minorHAnsi"/>
              </w:rPr>
            </w:pPr>
            <w:r w:rsidRPr="004D2B55">
              <w:rPr>
                <w:rStyle w:val="normaltextrun"/>
                <w:rFonts w:cstheme="minorHAnsi"/>
                <w:color w:val="000000"/>
              </w:rPr>
              <w:t>Do you concur with the DSB’s proposed approach to move the onboarding and in-life management processes to an online platform for the UPI Service?</w:t>
            </w:r>
          </w:p>
        </w:tc>
        <w:tc>
          <w:tcPr>
            <w:tcW w:w="4961" w:type="dxa"/>
            <w:vAlign w:val="center"/>
          </w:tcPr>
          <w:p w14:paraId="4880D213" w14:textId="77777777" w:rsidR="007625FD" w:rsidRPr="00DB7576" w:rsidRDefault="007625FD" w:rsidP="00EB317C">
            <w:pPr>
              <w:spacing w:line="276" w:lineRule="auto"/>
              <w:rPr>
                <w:rFonts w:cstheme="minorHAnsi"/>
              </w:rPr>
            </w:pPr>
          </w:p>
        </w:tc>
      </w:tr>
      <w:tr w:rsidR="007625FD" w:rsidRPr="00DB7576" w14:paraId="43C50FBA" w14:textId="77777777" w:rsidTr="00307739">
        <w:trPr>
          <w:trHeight w:val="1088"/>
        </w:trPr>
        <w:tc>
          <w:tcPr>
            <w:tcW w:w="704" w:type="dxa"/>
            <w:vAlign w:val="center"/>
          </w:tcPr>
          <w:p w14:paraId="783050F2" w14:textId="77777777" w:rsidR="007625FD" w:rsidRPr="00DB7576" w:rsidRDefault="007625FD" w:rsidP="00EB317C">
            <w:pPr>
              <w:spacing w:line="276" w:lineRule="auto"/>
              <w:rPr>
                <w:rFonts w:cstheme="minorHAnsi"/>
              </w:rPr>
            </w:pPr>
            <w:r w:rsidRPr="00DB7576">
              <w:rPr>
                <w:rFonts w:cstheme="minorHAnsi"/>
              </w:rPr>
              <w:t>1b</w:t>
            </w:r>
          </w:p>
        </w:tc>
        <w:tc>
          <w:tcPr>
            <w:tcW w:w="7938" w:type="dxa"/>
            <w:vAlign w:val="center"/>
          </w:tcPr>
          <w:p w14:paraId="709E4C3F" w14:textId="0CA10B27" w:rsidR="007625FD" w:rsidRPr="00C7049B" w:rsidRDefault="007625FD" w:rsidP="00EB317C">
            <w:pPr>
              <w:spacing w:line="276" w:lineRule="auto"/>
              <w:rPr>
                <w:rFonts w:cstheme="minorHAnsi"/>
              </w:rPr>
            </w:pPr>
            <w:r w:rsidRPr="00F610E2">
              <w:rPr>
                <w:rStyle w:val="normaltextrun"/>
                <w:rFonts w:cstheme="minorHAnsi"/>
                <w:color w:val="000000"/>
              </w:rPr>
              <w:t xml:space="preserve">If not, what specific alternate approach do you recommend? </w:t>
            </w:r>
            <w:r w:rsidR="00FF295A" w:rsidRPr="00307739">
              <w:rPr>
                <w:rStyle w:val="normaltextrun"/>
                <w:rFonts w:cstheme="minorHAnsi"/>
                <w:color w:val="000000"/>
              </w:rPr>
              <w:t>Please provide a clear and objective rationale for each alternate approach you recommend.</w:t>
            </w:r>
          </w:p>
        </w:tc>
        <w:tc>
          <w:tcPr>
            <w:tcW w:w="4961" w:type="dxa"/>
            <w:vAlign w:val="center"/>
          </w:tcPr>
          <w:p w14:paraId="03E0024E" w14:textId="77777777" w:rsidR="007625FD" w:rsidRPr="00DB7576" w:rsidRDefault="007625FD" w:rsidP="00EB317C">
            <w:pPr>
              <w:spacing w:line="276" w:lineRule="auto"/>
              <w:rPr>
                <w:rFonts w:cstheme="minorHAnsi"/>
              </w:rPr>
            </w:pPr>
          </w:p>
        </w:tc>
      </w:tr>
      <w:tr w:rsidR="00FF295A" w:rsidRPr="00DB7576" w14:paraId="6D4CC573" w14:textId="77777777" w:rsidTr="00307739">
        <w:tc>
          <w:tcPr>
            <w:tcW w:w="704" w:type="dxa"/>
            <w:vAlign w:val="center"/>
          </w:tcPr>
          <w:p w14:paraId="43120A98" w14:textId="6403598C" w:rsidR="00FF295A" w:rsidRDefault="00FF295A" w:rsidP="00F610E2">
            <w:pPr>
              <w:rPr>
                <w:rFonts w:cstheme="minorHAnsi"/>
              </w:rPr>
            </w:pPr>
            <w:r>
              <w:rPr>
                <w:rFonts w:cstheme="minorHAnsi"/>
              </w:rPr>
              <w:t>2</w:t>
            </w:r>
          </w:p>
        </w:tc>
        <w:tc>
          <w:tcPr>
            <w:tcW w:w="7938" w:type="dxa"/>
            <w:vAlign w:val="center"/>
          </w:tcPr>
          <w:p w14:paraId="63232D0F" w14:textId="78DBE6ED" w:rsidR="00F26196" w:rsidRPr="003942A4" w:rsidRDefault="00F26196" w:rsidP="003942A4">
            <w:pPr>
              <w:rPr>
                <w:b/>
                <w:bCs/>
              </w:rPr>
            </w:pPr>
            <w:r w:rsidRPr="00307739">
              <w:rPr>
                <w:b/>
                <w:bCs/>
              </w:rPr>
              <w:t>Common Agreement</w:t>
            </w:r>
          </w:p>
          <w:p w14:paraId="6A3B0DCC" w14:textId="449BA687" w:rsidR="00B17DD8" w:rsidRDefault="00B17DD8" w:rsidP="00B17DD8">
            <w:pPr>
              <w:pStyle w:val="paragraph"/>
              <w:spacing w:before="240" w:beforeAutospacing="0" w:after="120" w:afterAutospacing="0" w:line="276" w:lineRule="auto"/>
              <w:textAlignment w:val="baseline"/>
              <w:rPr>
                <w:rStyle w:val="normaltextrun"/>
                <w:rFonts w:asciiTheme="minorHAnsi" w:hAnsiTheme="minorHAnsi" w:cstheme="minorBidi"/>
                <w:color w:val="000000"/>
                <w:sz w:val="22"/>
                <w:szCs w:val="22"/>
              </w:rPr>
            </w:pPr>
            <w:r w:rsidRPr="35780D90">
              <w:rPr>
                <w:rStyle w:val="normaltextrun"/>
                <w:rFonts w:asciiTheme="minorHAnsi" w:hAnsiTheme="minorHAnsi" w:cstheme="minorBidi"/>
                <w:color w:val="000000" w:themeColor="text1"/>
                <w:sz w:val="22"/>
                <w:szCs w:val="22"/>
              </w:rPr>
              <w:t xml:space="preserve">Industry feedback has been </w:t>
            </w:r>
            <w:proofErr w:type="gramStart"/>
            <w:r w:rsidRPr="35780D90">
              <w:rPr>
                <w:rStyle w:val="normaltextrun"/>
                <w:rFonts w:asciiTheme="minorHAnsi" w:hAnsiTheme="minorHAnsi" w:cstheme="minorBidi"/>
                <w:color w:val="000000" w:themeColor="text1"/>
                <w:sz w:val="22"/>
                <w:szCs w:val="22"/>
              </w:rPr>
              <w:t>that legal provisions</w:t>
            </w:r>
            <w:proofErr w:type="gramEnd"/>
            <w:r w:rsidRPr="35780D90">
              <w:rPr>
                <w:rStyle w:val="normaltextrun"/>
                <w:rFonts w:asciiTheme="minorHAnsi" w:hAnsiTheme="minorHAnsi" w:cstheme="minorBidi"/>
                <w:color w:val="000000" w:themeColor="text1"/>
                <w:sz w:val="22"/>
                <w:szCs w:val="22"/>
              </w:rPr>
              <w:t xml:space="preserve"> to support the UPI Service should be incorporated into the existing DSB legal framework that is utilized for the OTC ISIN Service, such that there is a Common Agreement. The DSB has considered </w:t>
            </w:r>
            <w:proofErr w:type="gramStart"/>
            <w:r w:rsidRPr="35780D90">
              <w:rPr>
                <w:rStyle w:val="normaltextrun"/>
                <w:rFonts w:asciiTheme="minorHAnsi" w:hAnsiTheme="minorHAnsi" w:cstheme="minorBidi"/>
                <w:color w:val="000000" w:themeColor="text1"/>
                <w:sz w:val="22"/>
                <w:szCs w:val="22"/>
              </w:rPr>
              <w:t>a number of</w:t>
            </w:r>
            <w:proofErr w:type="gramEnd"/>
            <w:r w:rsidRPr="35780D90">
              <w:rPr>
                <w:rStyle w:val="normaltextrun"/>
                <w:rFonts w:asciiTheme="minorHAnsi" w:hAnsiTheme="minorHAnsi" w:cstheme="minorBidi"/>
                <w:color w:val="000000" w:themeColor="text1"/>
                <w:sz w:val="22"/>
                <w:szCs w:val="22"/>
              </w:rPr>
              <w:t xml:space="preserve"> options to facilitate this objective in a cost effective and streamlined manner and proposes the introduction of the concept of a “Subscription”, through which a User accesses a DSB Service by reference to both the service-type(s) (i.e., OTC ISIN and/or UPI) and User Type(s) (e.g., Infrequent, Standard, Search-only API, Power). </w:t>
            </w:r>
          </w:p>
          <w:p w14:paraId="768D3A26" w14:textId="449BA687" w:rsidR="00B17DD8" w:rsidRDefault="00B17DD8" w:rsidP="00B17DD8">
            <w:pPr>
              <w:pStyle w:val="paragraph"/>
              <w:spacing w:before="240" w:beforeAutospacing="0" w:after="120" w:afterAutospacing="0" w:line="276" w:lineRule="auto"/>
              <w:textAlignment w:val="baseline"/>
              <w:rPr>
                <w:rStyle w:val="normaltextrun"/>
                <w:rFonts w:asciiTheme="minorHAnsi" w:hAnsiTheme="minorHAnsi" w:cstheme="minorBidi"/>
                <w:color w:val="000000"/>
                <w:sz w:val="22"/>
                <w:szCs w:val="22"/>
              </w:rPr>
            </w:pPr>
            <w:r w:rsidRPr="35780D90">
              <w:rPr>
                <w:rStyle w:val="normaltextrun"/>
                <w:rFonts w:asciiTheme="minorHAnsi" w:hAnsiTheme="minorHAnsi" w:cstheme="minorBidi"/>
                <w:color w:val="000000" w:themeColor="text1"/>
                <w:sz w:val="22"/>
                <w:szCs w:val="22"/>
              </w:rPr>
              <w:t xml:space="preserve">The DSB’s proposal is that each Subscription Form is a distinct legal component of the overarching Access and Usage Agreement executed between the User and the DSB, </w:t>
            </w:r>
            <w:r w:rsidRPr="35780D90">
              <w:rPr>
                <w:rStyle w:val="normaltextrun"/>
                <w:rFonts w:asciiTheme="minorHAnsi" w:hAnsiTheme="minorHAnsi" w:cstheme="minorBidi"/>
                <w:color w:val="000000" w:themeColor="text1"/>
                <w:sz w:val="22"/>
                <w:szCs w:val="22"/>
              </w:rPr>
              <w:lastRenderedPageBreak/>
              <w:t xml:space="preserve">consisting of the Subscription details, and reference to the Main Terms and the Policies. The proposed model would result in Users having where applicable, one OTC ISIN Subscription Form, including details of all subscriptions for the OTC ISIN Service, and one UPI Subscription Form including details of all subscriptions for the UPI Service. The Main Terms and Policies referenced would remain common across all Subscription </w:t>
            </w:r>
            <w:proofErr w:type="gramStart"/>
            <w:r w:rsidRPr="35780D90">
              <w:rPr>
                <w:rStyle w:val="normaltextrun"/>
                <w:rFonts w:asciiTheme="minorHAnsi" w:hAnsiTheme="minorHAnsi" w:cstheme="minorBidi"/>
                <w:color w:val="000000" w:themeColor="text1"/>
                <w:sz w:val="22"/>
                <w:szCs w:val="22"/>
              </w:rPr>
              <w:t>Forms, and</w:t>
            </w:r>
            <w:proofErr w:type="gramEnd"/>
            <w:r w:rsidRPr="35780D90">
              <w:rPr>
                <w:rStyle w:val="normaltextrun"/>
                <w:rFonts w:asciiTheme="minorHAnsi" w:hAnsiTheme="minorHAnsi" w:cstheme="minorBidi"/>
                <w:color w:val="000000" w:themeColor="text1"/>
                <w:sz w:val="22"/>
                <w:szCs w:val="22"/>
              </w:rPr>
              <w:t xml:space="preserve"> contain cross-subscription provisions. </w:t>
            </w:r>
          </w:p>
          <w:p w14:paraId="22FCCB5A" w14:textId="449BA687" w:rsidR="00B17DD8" w:rsidRDefault="00B17DD8" w:rsidP="00B17DD8">
            <w:pPr>
              <w:pStyle w:val="paragraph"/>
              <w:spacing w:before="240" w:beforeAutospacing="0" w:after="120" w:afterAutospacing="0" w:line="276" w:lineRule="auto"/>
              <w:textAlignment w:val="baseline"/>
              <w:rPr>
                <w:rStyle w:val="normaltextrun"/>
                <w:rFonts w:asciiTheme="minorHAnsi" w:hAnsiTheme="minorHAnsi" w:cstheme="minorBidi"/>
                <w:color w:val="000000"/>
                <w:sz w:val="22"/>
                <w:szCs w:val="22"/>
              </w:rPr>
            </w:pPr>
            <w:r w:rsidRPr="35780D90">
              <w:rPr>
                <w:rStyle w:val="normaltextrun"/>
                <w:rFonts w:asciiTheme="minorHAnsi" w:hAnsiTheme="minorHAnsi" w:cstheme="minorBidi"/>
                <w:color w:val="000000" w:themeColor="text1"/>
                <w:sz w:val="22"/>
                <w:szCs w:val="22"/>
              </w:rPr>
              <w:t xml:space="preserve">The detailed information that follows this section sets out some alternatives considered by the DSB, to provide users with insight into the DSB’s rationale for the proposed approach. The changes proposed by the DSB are largely structural and process related. They affect the way in which </w:t>
            </w:r>
            <w:proofErr w:type="gramStart"/>
            <w:r w:rsidRPr="35780D90">
              <w:rPr>
                <w:rStyle w:val="normaltextrun"/>
                <w:rFonts w:asciiTheme="minorHAnsi" w:hAnsiTheme="minorHAnsi" w:cstheme="minorBidi"/>
                <w:color w:val="000000" w:themeColor="text1"/>
                <w:sz w:val="22"/>
                <w:szCs w:val="22"/>
              </w:rPr>
              <w:t>Users</w:t>
            </w:r>
            <w:proofErr w:type="gramEnd"/>
            <w:r w:rsidRPr="35780D90">
              <w:rPr>
                <w:rStyle w:val="normaltextrun"/>
                <w:rFonts w:asciiTheme="minorHAnsi" w:hAnsiTheme="minorHAnsi" w:cstheme="minorBidi"/>
                <w:color w:val="000000" w:themeColor="text1"/>
                <w:sz w:val="22"/>
                <w:szCs w:val="22"/>
              </w:rPr>
              <w:t xml:space="preserve"> contract with the DSB and the way in which the resulting agreements are documented rather than impacting their legal rights and obligations.</w:t>
            </w:r>
          </w:p>
          <w:p w14:paraId="571205CC" w14:textId="449BA687" w:rsidR="00B17DD8" w:rsidRDefault="00B17DD8" w:rsidP="00B17DD8">
            <w:pPr>
              <w:spacing w:after="120"/>
              <w:jc w:val="both"/>
              <w:rPr>
                <w:lang w:val="en-GB"/>
              </w:rPr>
            </w:pPr>
            <w:r w:rsidRPr="00017ED4">
              <w:rPr>
                <w:lang w:val="en-GB"/>
              </w:rPr>
              <w:t xml:space="preserve">The </w:t>
            </w:r>
            <w:r>
              <w:rPr>
                <w:lang w:val="en-GB"/>
              </w:rPr>
              <w:t>revised legal</w:t>
            </w:r>
            <w:r w:rsidRPr="00017ED4">
              <w:rPr>
                <w:lang w:val="en-GB"/>
              </w:rPr>
              <w:t xml:space="preserve"> documentation </w:t>
            </w:r>
            <w:r w:rsidRPr="00103EF7">
              <w:rPr>
                <w:lang w:val="en-GB"/>
              </w:rPr>
              <w:t>structure would initially only apply</w:t>
            </w:r>
            <w:r>
              <w:rPr>
                <w:lang w:val="en-GB"/>
              </w:rPr>
              <w:t xml:space="preserve"> to </w:t>
            </w:r>
            <w:r w:rsidRPr="00017ED4">
              <w:rPr>
                <w:lang w:val="en-GB"/>
              </w:rPr>
              <w:t xml:space="preserve">new UPI </w:t>
            </w:r>
            <w:r w:rsidRPr="00394795">
              <w:t>User</w:t>
            </w:r>
            <w:r w:rsidRPr="006F5202">
              <w:t>s</w:t>
            </w:r>
            <w:r w:rsidRPr="001F656C">
              <w:t xml:space="preserve"> </w:t>
            </w:r>
            <w:r w:rsidRPr="00017ED4">
              <w:rPr>
                <w:lang w:val="en-GB"/>
              </w:rPr>
              <w:t>upon the launch of the UPI Service</w:t>
            </w:r>
            <w:r>
              <w:rPr>
                <w:lang w:val="en-GB"/>
              </w:rPr>
              <w:t>. It is proposed that e</w:t>
            </w:r>
            <w:r w:rsidRPr="00017ED4">
              <w:rPr>
                <w:lang w:val="en-GB"/>
              </w:rPr>
              <w:t xml:space="preserve">xisting </w:t>
            </w:r>
            <w:r w:rsidRPr="00394795">
              <w:t>User</w:t>
            </w:r>
            <w:r w:rsidRPr="006F5202">
              <w:t>s</w:t>
            </w:r>
            <w:r w:rsidRPr="001F656C">
              <w:t xml:space="preserve"> </w:t>
            </w:r>
            <w:r w:rsidRPr="00017ED4">
              <w:rPr>
                <w:lang w:val="en-GB"/>
              </w:rPr>
              <w:t xml:space="preserve">of the OTC ISIN </w:t>
            </w:r>
            <w:r>
              <w:rPr>
                <w:lang w:val="en-GB"/>
              </w:rPr>
              <w:t>S</w:t>
            </w:r>
            <w:r w:rsidRPr="00017ED4">
              <w:rPr>
                <w:lang w:val="en-GB"/>
              </w:rPr>
              <w:t xml:space="preserve">ervice will be </w:t>
            </w:r>
            <w:r>
              <w:rPr>
                <w:lang w:val="en-GB"/>
              </w:rPr>
              <w:t xml:space="preserve">transitioned to the new document structure via a Variation Notice. Aligned with the Variation Notice provision within the existing DSB Access and Usage Agreement, section </w:t>
            </w:r>
            <w:proofErr w:type="gramStart"/>
            <w:r>
              <w:rPr>
                <w:lang w:val="en-GB"/>
              </w:rPr>
              <w:t>1.2 ,</w:t>
            </w:r>
            <w:proofErr w:type="gramEnd"/>
            <w:r>
              <w:rPr>
                <w:lang w:val="en-GB"/>
              </w:rPr>
              <w:t xml:space="preserve"> “The DSB may amend…. </w:t>
            </w:r>
            <w:r>
              <w:t xml:space="preserve">the Main Terms by giving ninety (90) days’ </w:t>
            </w:r>
            <w:proofErr w:type="gramStart"/>
            <w:r>
              <w:t>notice</w:t>
            </w:r>
            <w:proofErr w:type="gramEnd"/>
            <w:r>
              <w:t xml:space="preserve"> in writing to the User at any time provided that the same or equivalent amendments are also made to all other agreements governing access to, and use of, the DSB Service”. As such </w:t>
            </w:r>
            <w:proofErr w:type="gramStart"/>
            <w:r>
              <w:t>all OTC ISIN</w:t>
            </w:r>
            <w:proofErr w:type="gramEnd"/>
            <w:r>
              <w:t xml:space="preserve"> agreements will be transitioned to the new structure simultaneously. </w:t>
            </w:r>
            <w:r>
              <w:rPr>
                <w:lang w:val="en-GB"/>
              </w:rPr>
              <w:t>C</w:t>
            </w:r>
            <w:r w:rsidRPr="00AA7FE2">
              <w:rPr>
                <w:lang w:val="en-GB"/>
              </w:rPr>
              <w:t xml:space="preserve">ommunication regarding plans and timelines for transition to the new document structure </w:t>
            </w:r>
            <w:r>
              <w:rPr>
                <w:lang w:val="en-GB"/>
              </w:rPr>
              <w:t>will</w:t>
            </w:r>
            <w:r w:rsidRPr="00AA7FE2">
              <w:rPr>
                <w:lang w:val="en-GB"/>
              </w:rPr>
              <w:t xml:space="preserve"> follow in due course</w:t>
            </w:r>
            <w:r w:rsidRPr="00B05F37">
              <w:rPr>
                <w:lang w:val="en-GB"/>
              </w:rPr>
              <w:t>.</w:t>
            </w:r>
            <w:r w:rsidRPr="000D3513">
              <w:t xml:space="preserve"> </w:t>
            </w:r>
            <w:r w:rsidRPr="003E73F2">
              <w:t>The</w:t>
            </w:r>
            <w:r>
              <w:t xml:space="preserve"> DSB’s proposed approach </w:t>
            </w:r>
            <w:r w:rsidRPr="003E73F2">
              <w:t xml:space="preserve">would </w:t>
            </w:r>
            <w:r>
              <w:t xml:space="preserve">mean that </w:t>
            </w:r>
            <w:r w:rsidRPr="003E73F2">
              <w:t xml:space="preserve">Users </w:t>
            </w:r>
            <w:r>
              <w:t xml:space="preserve">will not need </w:t>
            </w:r>
            <w:r w:rsidRPr="003E73F2">
              <w:t xml:space="preserve">to </w:t>
            </w:r>
            <w:r w:rsidRPr="000908F7">
              <w:t xml:space="preserve">counter-sign these as it is simply a record of the existing agreement.  </w:t>
            </w:r>
          </w:p>
          <w:p w14:paraId="262D4D7A" w14:textId="61F3DAF1" w:rsidR="00B17DD8" w:rsidRPr="004D2B55" w:rsidRDefault="00B17DD8" w:rsidP="00D51A8A">
            <w:pPr>
              <w:spacing w:after="120"/>
              <w:jc w:val="both"/>
              <w:rPr>
                <w:rFonts w:cstheme="minorHAnsi"/>
              </w:rPr>
            </w:pPr>
          </w:p>
        </w:tc>
        <w:tc>
          <w:tcPr>
            <w:tcW w:w="4961" w:type="dxa"/>
            <w:vAlign w:val="center"/>
          </w:tcPr>
          <w:p w14:paraId="3301F625" w14:textId="77777777" w:rsidR="00FF295A" w:rsidRPr="00DB7576" w:rsidRDefault="00FF295A" w:rsidP="00F610E2">
            <w:pPr>
              <w:rPr>
                <w:rFonts w:cstheme="minorHAnsi"/>
              </w:rPr>
            </w:pPr>
          </w:p>
        </w:tc>
      </w:tr>
      <w:tr w:rsidR="007625FD" w:rsidRPr="00DB7576" w14:paraId="07250C03" w14:textId="77777777" w:rsidTr="00307739">
        <w:tc>
          <w:tcPr>
            <w:tcW w:w="704" w:type="dxa"/>
            <w:vAlign w:val="center"/>
          </w:tcPr>
          <w:p w14:paraId="79F91E8B" w14:textId="77777777" w:rsidR="007625FD" w:rsidRPr="00DB7576" w:rsidRDefault="007625FD" w:rsidP="00EB317C">
            <w:pPr>
              <w:spacing w:line="276" w:lineRule="auto"/>
              <w:rPr>
                <w:rFonts w:cstheme="minorHAnsi"/>
              </w:rPr>
            </w:pPr>
            <w:r>
              <w:rPr>
                <w:rFonts w:cstheme="minorHAnsi"/>
              </w:rPr>
              <w:t>2a</w:t>
            </w:r>
          </w:p>
        </w:tc>
        <w:tc>
          <w:tcPr>
            <w:tcW w:w="7938" w:type="dxa"/>
            <w:vAlign w:val="center"/>
          </w:tcPr>
          <w:p w14:paraId="4A026396" w14:textId="35821436" w:rsidR="007625FD" w:rsidRDefault="003F21AE" w:rsidP="00F610E2">
            <w:pPr>
              <w:spacing w:line="276" w:lineRule="auto"/>
              <w:rPr>
                <w:rStyle w:val="normaltextrun"/>
                <w:rFonts w:cstheme="minorHAnsi"/>
                <w:color w:val="000000"/>
              </w:rPr>
            </w:pPr>
            <w:r w:rsidRPr="00307739">
              <w:rPr>
                <w:rStyle w:val="normaltextrun"/>
                <w:rFonts w:cstheme="minorHAnsi"/>
                <w:color w:val="000000"/>
              </w:rPr>
              <w:t>Do you concur with the proposed structure of the DSB’s contractual documentation – to have separate Subscriptions Form for the OTC ISIN and UPI Services respectively referencing common Main Terms and Policies</w:t>
            </w:r>
            <w:r w:rsidRPr="00307739" w:rsidDel="00D44A89">
              <w:rPr>
                <w:rStyle w:val="normaltextrun"/>
                <w:rFonts w:cstheme="minorHAnsi"/>
                <w:color w:val="000000"/>
              </w:rPr>
              <w:t>?</w:t>
            </w:r>
          </w:p>
          <w:p w14:paraId="6515C1BD" w14:textId="0569E1A6" w:rsidR="007625FD" w:rsidRPr="00C7049B" w:rsidRDefault="007625FD" w:rsidP="00EB317C">
            <w:pPr>
              <w:spacing w:line="276" w:lineRule="auto"/>
              <w:rPr>
                <w:rFonts w:cstheme="minorHAnsi"/>
              </w:rPr>
            </w:pPr>
          </w:p>
        </w:tc>
        <w:tc>
          <w:tcPr>
            <w:tcW w:w="4961" w:type="dxa"/>
            <w:vAlign w:val="center"/>
          </w:tcPr>
          <w:p w14:paraId="0EB66A9F" w14:textId="77777777" w:rsidR="007625FD" w:rsidRPr="00DB7576" w:rsidRDefault="007625FD" w:rsidP="00EB317C">
            <w:pPr>
              <w:spacing w:line="276" w:lineRule="auto"/>
              <w:rPr>
                <w:rFonts w:cstheme="minorHAnsi"/>
              </w:rPr>
            </w:pPr>
          </w:p>
        </w:tc>
      </w:tr>
      <w:tr w:rsidR="007625FD" w:rsidRPr="00DB7576" w14:paraId="4FA78527" w14:textId="77777777" w:rsidTr="00307739">
        <w:tc>
          <w:tcPr>
            <w:tcW w:w="704" w:type="dxa"/>
            <w:vAlign w:val="center"/>
          </w:tcPr>
          <w:p w14:paraId="334A960C" w14:textId="77777777" w:rsidR="007625FD" w:rsidRPr="00DB7576" w:rsidRDefault="007625FD" w:rsidP="00EB317C">
            <w:pPr>
              <w:rPr>
                <w:rFonts w:cstheme="minorHAnsi"/>
              </w:rPr>
            </w:pPr>
            <w:r>
              <w:rPr>
                <w:rFonts w:cstheme="minorHAnsi"/>
              </w:rPr>
              <w:t>2b</w:t>
            </w:r>
          </w:p>
        </w:tc>
        <w:tc>
          <w:tcPr>
            <w:tcW w:w="7938" w:type="dxa"/>
            <w:vAlign w:val="center"/>
          </w:tcPr>
          <w:p w14:paraId="60C30DEC" w14:textId="77777777" w:rsidR="0014057E" w:rsidRDefault="007625FD" w:rsidP="00F610E2">
            <w:pPr>
              <w:rPr>
                <w:rStyle w:val="normaltextrun"/>
                <w:rFonts w:cstheme="minorHAnsi"/>
                <w:color w:val="000000"/>
              </w:rPr>
            </w:pPr>
            <w:r w:rsidRPr="00F610E2">
              <w:rPr>
                <w:rStyle w:val="normaltextrun"/>
                <w:rFonts w:cstheme="minorHAnsi"/>
                <w:color w:val="000000"/>
              </w:rPr>
              <w:t xml:space="preserve">If not, what specific alternate approach do you recommend? </w:t>
            </w:r>
            <w:r w:rsidR="00FC1CCC" w:rsidRPr="00307739">
              <w:rPr>
                <w:rStyle w:val="normaltextrun"/>
                <w:rFonts w:cstheme="minorHAnsi"/>
                <w:color w:val="000000"/>
              </w:rPr>
              <w:t>Please provide a clear rationale for any recommendations you make to incorporate into the DSB’s approach.</w:t>
            </w:r>
          </w:p>
          <w:p w14:paraId="4F6B24B9" w14:textId="0CE7FA97" w:rsidR="007625FD" w:rsidRPr="00D367BD" w:rsidRDefault="00FC1CCC" w:rsidP="00EB317C">
            <w:pPr>
              <w:rPr>
                <w:rStyle w:val="normaltextrun"/>
                <w:rFonts w:cstheme="minorHAnsi"/>
                <w:color w:val="000000"/>
              </w:rPr>
            </w:pPr>
            <w:r w:rsidRPr="00D51A8A">
              <w:rPr>
                <w:rStyle w:val="normaltextrun"/>
                <w:rFonts w:cstheme="minorHAnsi"/>
                <w:color w:val="000000"/>
              </w:rPr>
              <w:t xml:space="preserve">  </w:t>
            </w:r>
          </w:p>
        </w:tc>
        <w:tc>
          <w:tcPr>
            <w:tcW w:w="4961" w:type="dxa"/>
            <w:vAlign w:val="center"/>
          </w:tcPr>
          <w:p w14:paraId="5C6CA94B" w14:textId="77777777" w:rsidR="007625FD" w:rsidRPr="00DB7576" w:rsidRDefault="007625FD" w:rsidP="00EB317C">
            <w:pPr>
              <w:rPr>
                <w:rFonts w:cstheme="minorHAnsi"/>
              </w:rPr>
            </w:pPr>
          </w:p>
        </w:tc>
      </w:tr>
      <w:tr w:rsidR="007625FD" w:rsidRPr="00DB7576" w14:paraId="3FD39D0D" w14:textId="77777777" w:rsidTr="00307739">
        <w:tc>
          <w:tcPr>
            <w:tcW w:w="704" w:type="dxa"/>
            <w:vAlign w:val="center"/>
          </w:tcPr>
          <w:p w14:paraId="68ABFA03" w14:textId="77777777" w:rsidR="007625FD" w:rsidRPr="00DB7576" w:rsidRDefault="007625FD" w:rsidP="00EB317C">
            <w:pPr>
              <w:spacing w:line="276" w:lineRule="auto"/>
              <w:rPr>
                <w:rFonts w:cstheme="minorHAnsi"/>
              </w:rPr>
            </w:pPr>
            <w:r>
              <w:rPr>
                <w:rFonts w:cstheme="minorHAnsi"/>
              </w:rPr>
              <w:t>2c</w:t>
            </w:r>
          </w:p>
        </w:tc>
        <w:tc>
          <w:tcPr>
            <w:tcW w:w="7938" w:type="dxa"/>
            <w:vAlign w:val="center"/>
          </w:tcPr>
          <w:p w14:paraId="5C0B4DC2" w14:textId="5B5636D8" w:rsidR="0014057E" w:rsidRPr="004D2B55" w:rsidRDefault="00367D64" w:rsidP="00F610E2">
            <w:pPr>
              <w:rPr>
                <w:rStyle w:val="normaltextrun"/>
                <w:rFonts w:cstheme="minorHAnsi"/>
                <w:color w:val="000000"/>
              </w:rPr>
            </w:pPr>
            <w:r w:rsidRPr="00D51A8A">
              <w:rPr>
                <w:rStyle w:val="normaltextrun"/>
                <w:rFonts w:cstheme="minorHAnsi"/>
                <w:color w:val="000000"/>
              </w:rPr>
              <w:t xml:space="preserve">Do you concur with the outlined approach for transition of existing OTC ISIN Users to the new document structure? </w:t>
            </w:r>
          </w:p>
          <w:p w14:paraId="1A97C091" w14:textId="77777777" w:rsidR="007625FD" w:rsidRPr="00C7049B" w:rsidRDefault="007625FD" w:rsidP="00EB317C">
            <w:pPr>
              <w:rPr>
                <w:rFonts w:cstheme="minorHAnsi"/>
              </w:rPr>
            </w:pPr>
          </w:p>
        </w:tc>
        <w:tc>
          <w:tcPr>
            <w:tcW w:w="4961" w:type="dxa"/>
            <w:vAlign w:val="center"/>
          </w:tcPr>
          <w:p w14:paraId="4AC3424F" w14:textId="77777777" w:rsidR="007625FD" w:rsidRPr="00DB7576" w:rsidRDefault="007625FD" w:rsidP="00EB317C">
            <w:pPr>
              <w:spacing w:line="276" w:lineRule="auto"/>
              <w:rPr>
                <w:rFonts w:cstheme="minorHAnsi"/>
              </w:rPr>
            </w:pPr>
          </w:p>
        </w:tc>
      </w:tr>
      <w:tr w:rsidR="007625FD" w:rsidRPr="00DB7576" w14:paraId="42E8A0F1" w14:textId="77777777" w:rsidTr="00307739">
        <w:tc>
          <w:tcPr>
            <w:tcW w:w="704" w:type="dxa"/>
            <w:vAlign w:val="center"/>
          </w:tcPr>
          <w:p w14:paraId="343CD916" w14:textId="77777777" w:rsidR="007625FD" w:rsidRPr="00DB7576" w:rsidRDefault="007625FD" w:rsidP="00EB317C">
            <w:pPr>
              <w:spacing w:line="276" w:lineRule="auto"/>
              <w:rPr>
                <w:rFonts w:cstheme="minorHAnsi"/>
              </w:rPr>
            </w:pPr>
            <w:r>
              <w:rPr>
                <w:rFonts w:cstheme="minorHAnsi"/>
              </w:rPr>
              <w:t>2d</w:t>
            </w:r>
          </w:p>
        </w:tc>
        <w:tc>
          <w:tcPr>
            <w:tcW w:w="7938" w:type="dxa"/>
            <w:vAlign w:val="center"/>
          </w:tcPr>
          <w:p w14:paraId="42142F4C" w14:textId="77777777" w:rsidR="0014057E" w:rsidRDefault="007625FD" w:rsidP="00F610E2">
            <w:pPr>
              <w:spacing w:line="276" w:lineRule="auto"/>
              <w:rPr>
                <w:rStyle w:val="normaltextrun"/>
                <w:rFonts w:cstheme="minorHAnsi"/>
                <w:color w:val="000000"/>
              </w:rPr>
            </w:pPr>
            <w:r w:rsidRPr="00F610E2">
              <w:rPr>
                <w:rStyle w:val="normaltextrun"/>
                <w:rFonts w:cstheme="minorHAnsi"/>
                <w:color w:val="000000"/>
              </w:rPr>
              <w:t xml:space="preserve">If not, what specific alternate approach do you recommend? </w:t>
            </w:r>
            <w:r w:rsidR="00737207" w:rsidRPr="00D51A8A">
              <w:rPr>
                <w:rStyle w:val="normaltextrun"/>
                <w:rFonts w:cstheme="minorHAnsi"/>
                <w:color w:val="000000"/>
              </w:rPr>
              <w:t>Please provide a clear rationale for any recommendations you make to incorporate into the DSB’s approach.</w:t>
            </w:r>
          </w:p>
          <w:p w14:paraId="1D60E0E9" w14:textId="5C80BAB8" w:rsidR="007625FD" w:rsidRPr="00C7049B" w:rsidRDefault="00737207" w:rsidP="00EB317C">
            <w:pPr>
              <w:spacing w:line="276" w:lineRule="auto"/>
              <w:rPr>
                <w:rFonts w:cstheme="minorHAnsi"/>
              </w:rPr>
            </w:pPr>
            <w:r w:rsidRPr="00D51A8A">
              <w:rPr>
                <w:rStyle w:val="normaltextrun"/>
                <w:rFonts w:cstheme="minorHAnsi"/>
                <w:color w:val="000000"/>
              </w:rPr>
              <w:t xml:space="preserve">  </w:t>
            </w:r>
          </w:p>
        </w:tc>
        <w:tc>
          <w:tcPr>
            <w:tcW w:w="4961" w:type="dxa"/>
            <w:vAlign w:val="center"/>
          </w:tcPr>
          <w:p w14:paraId="28A0FBCD" w14:textId="77777777" w:rsidR="007625FD" w:rsidRPr="00DB7576" w:rsidRDefault="007625FD" w:rsidP="00EB317C">
            <w:pPr>
              <w:spacing w:line="276" w:lineRule="auto"/>
              <w:rPr>
                <w:rFonts w:cstheme="minorHAnsi"/>
              </w:rPr>
            </w:pPr>
          </w:p>
        </w:tc>
      </w:tr>
      <w:tr w:rsidR="00737207" w:rsidRPr="00DB7576" w14:paraId="23A74F48" w14:textId="77777777" w:rsidTr="00307739">
        <w:trPr>
          <w:trHeight w:val="945"/>
        </w:trPr>
        <w:tc>
          <w:tcPr>
            <w:tcW w:w="704" w:type="dxa"/>
            <w:tcBorders>
              <w:top w:val="single" w:sz="4" w:space="0" w:color="30AEB9"/>
              <w:left w:val="single" w:sz="4" w:space="0" w:color="30AEB9"/>
              <w:bottom w:val="single" w:sz="4" w:space="0" w:color="30AEB9"/>
              <w:right w:val="single" w:sz="4" w:space="0" w:color="30AEB9"/>
            </w:tcBorders>
            <w:vAlign w:val="center"/>
          </w:tcPr>
          <w:p w14:paraId="60EBB0B2" w14:textId="115D81A3" w:rsidR="00737207" w:rsidRDefault="00737207" w:rsidP="00F610E2">
            <w:pPr>
              <w:rPr>
                <w:rFonts w:cstheme="minorHAnsi"/>
              </w:rPr>
            </w:pPr>
            <w:r>
              <w:rPr>
                <w:rFonts w:cstheme="minorHAnsi"/>
              </w:rPr>
              <w:t>3</w:t>
            </w:r>
          </w:p>
        </w:tc>
        <w:tc>
          <w:tcPr>
            <w:tcW w:w="7938" w:type="dxa"/>
            <w:tcBorders>
              <w:top w:val="single" w:sz="4" w:space="0" w:color="30AEB9"/>
              <w:left w:val="single" w:sz="4" w:space="0" w:color="30AEB9"/>
              <w:bottom w:val="single" w:sz="4" w:space="0" w:color="30AEB9"/>
              <w:right w:val="single" w:sz="4" w:space="0" w:color="30AEB9"/>
            </w:tcBorders>
            <w:vAlign w:val="center"/>
          </w:tcPr>
          <w:p w14:paraId="37432739" w14:textId="77777777" w:rsidR="00FF2DAF" w:rsidRPr="00D51A8A" w:rsidRDefault="00FF2DAF" w:rsidP="00FF2DAF">
            <w:pPr>
              <w:rPr>
                <w:b/>
                <w:bCs/>
              </w:rPr>
            </w:pPr>
            <w:r w:rsidRPr="00D51A8A">
              <w:rPr>
                <w:b/>
                <w:bCs/>
              </w:rPr>
              <w:t>UPI Service Onboarding and User Experience</w:t>
            </w:r>
          </w:p>
          <w:p w14:paraId="02672D80" w14:textId="77777777" w:rsidR="004B0B9E" w:rsidRDefault="004B0B9E" w:rsidP="004B0B9E">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sidRPr="67323F0F">
              <w:rPr>
                <w:rStyle w:val="normaltextrun"/>
                <w:rFonts w:ascii="Calibri" w:hAnsi="Calibri" w:cs="Calibri"/>
                <w:color w:val="000000" w:themeColor="text1"/>
                <w:sz w:val="22"/>
                <w:szCs w:val="22"/>
              </w:rPr>
              <w:t xml:space="preserve">The default onboarding approach for prospective fee-paying UPI clients is proposed to be the use of the DSB's Client Onboarding and Support Platform (COSP) - set out in section </w:t>
            </w:r>
            <w:r w:rsidRPr="67323F0F">
              <w:rPr>
                <w:rStyle w:val="normaltextrun"/>
                <w:rFonts w:ascii="Calibri" w:hAnsi="Calibri" w:cs="Calibri"/>
                <w:color w:val="000000" w:themeColor="text1"/>
                <w:sz w:val="22"/>
                <w:szCs w:val="22"/>
              </w:rPr>
              <w:fldChar w:fldCharType="begin"/>
            </w:r>
            <w:r w:rsidRPr="67323F0F">
              <w:rPr>
                <w:rStyle w:val="normaltextrun"/>
                <w:rFonts w:ascii="Calibri" w:hAnsi="Calibri" w:cs="Calibri"/>
                <w:color w:val="000000" w:themeColor="text1"/>
                <w:sz w:val="22"/>
                <w:szCs w:val="22"/>
              </w:rPr>
              <w:instrText xml:space="preserve"> REF _Ref84249452 \r \h </w:instrText>
            </w:r>
            <w:r w:rsidRPr="67323F0F">
              <w:rPr>
                <w:rStyle w:val="normaltextrun"/>
                <w:rFonts w:ascii="Calibri" w:hAnsi="Calibri" w:cs="Calibri"/>
                <w:color w:val="000000" w:themeColor="text1"/>
                <w:sz w:val="22"/>
                <w:szCs w:val="22"/>
              </w:rPr>
            </w:r>
            <w:r w:rsidRPr="67323F0F">
              <w:rPr>
                <w:rStyle w:val="normaltextrun"/>
                <w:rFonts w:ascii="Calibri" w:hAnsi="Calibri" w:cs="Calibri"/>
                <w:color w:val="000000" w:themeColor="text1"/>
                <w:sz w:val="22"/>
                <w:szCs w:val="22"/>
              </w:rPr>
              <w:fldChar w:fldCharType="separate"/>
            </w:r>
            <w:r w:rsidRPr="67323F0F">
              <w:rPr>
                <w:rStyle w:val="normaltextrun"/>
                <w:rFonts w:ascii="Calibri" w:hAnsi="Calibri" w:cs="Calibri"/>
                <w:color w:val="000000" w:themeColor="text1"/>
                <w:sz w:val="22"/>
                <w:szCs w:val="22"/>
              </w:rPr>
              <w:t>5.1</w:t>
            </w:r>
            <w:r w:rsidRPr="67323F0F">
              <w:rPr>
                <w:rStyle w:val="normaltextrun"/>
                <w:rFonts w:ascii="Calibri" w:hAnsi="Calibri" w:cs="Calibri"/>
                <w:color w:val="000000" w:themeColor="text1"/>
                <w:sz w:val="22"/>
                <w:szCs w:val="22"/>
              </w:rPr>
              <w:fldChar w:fldCharType="end"/>
            </w:r>
            <w:r w:rsidRPr="67323F0F">
              <w:rPr>
                <w:rStyle w:val="normaltextrun"/>
                <w:rFonts w:ascii="Calibri" w:hAnsi="Calibri" w:cs="Calibri"/>
                <w:color w:val="000000" w:themeColor="text1"/>
                <w:sz w:val="22"/>
                <w:szCs w:val="22"/>
              </w:rPr>
              <w:t xml:space="preserve"> of this consultation - to select the User Type(s) to which the legal entity wishes to subscribe and complete the administrative onboarding steps.</w:t>
            </w:r>
          </w:p>
          <w:p w14:paraId="061940AE" w14:textId="5A8202DE" w:rsidR="004B0B9E" w:rsidRDefault="004B0B9E" w:rsidP="004B0B9E">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If the proposal is endorsed by industry, clients</w:t>
            </w:r>
            <w:r w:rsidRPr="007972D7">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t xml:space="preserve">of the </w:t>
            </w:r>
            <w:r w:rsidR="00F07F21">
              <w:rPr>
                <w:rStyle w:val="normaltextrun"/>
                <w:rFonts w:ascii="Calibri" w:hAnsi="Calibri" w:cs="Calibri"/>
                <w:color w:val="000000"/>
                <w:sz w:val="22"/>
                <w:szCs w:val="22"/>
              </w:rPr>
              <w:t>UPI Service</w:t>
            </w:r>
            <w:r w:rsidRPr="007972D7">
              <w:rPr>
                <w:rStyle w:val="normaltextrun"/>
                <w:rFonts w:ascii="Calibri" w:hAnsi="Calibri" w:cs="Calibri"/>
                <w:color w:val="000000"/>
                <w:sz w:val="22"/>
                <w:szCs w:val="22"/>
              </w:rPr>
              <w:t xml:space="preserve"> will be asked to accept a set of </w:t>
            </w:r>
            <w:r>
              <w:rPr>
                <w:rStyle w:val="normaltextrun"/>
                <w:rFonts w:ascii="Calibri" w:hAnsi="Calibri" w:cs="Calibri"/>
                <w:color w:val="000000"/>
                <w:sz w:val="22"/>
                <w:szCs w:val="22"/>
              </w:rPr>
              <w:t>COSP</w:t>
            </w:r>
            <w:r w:rsidRPr="007972D7">
              <w:rPr>
                <w:rStyle w:val="normaltextrun"/>
                <w:rFonts w:ascii="Calibri" w:hAnsi="Calibri" w:cs="Calibri"/>
                <w:color w:val="000000"/>
                <w:sz w:val="22"/>
                <w:szCs w:val="22"/>
              </w:rPr>
              <w:t xml:space="preserve"> Platform Terms (</w:t>
            </w:r>
            <w:r>
              <w:rPr>
                <w:rStyle w:val="normaltextrun"/>
                <w:rFonts w:ascii="Calibri" w:hAnsi="Calibri" w:cs="Calibri"/>
                <w:color w:val="000000"/>
                <w:sz w:val="22"/>
                <w:szCs w:val="22"/>
              </w:rPr>
              <w:t xml:space="preserve">aligned to the </w:t>
            </w:r>
            <w:r w:rsidRPr="00637067">
              <w:rPr>
                <w:rStyle w:val="normaltextrun"/>
                <w:rFonts w:ascii="Calibri" w:hAnsi="Calibri" w:cs="Calibri"/>
                <w:color w:val="000000"/>
                <w:sz w:val="22"/>
                <w:szCs w:val="22"/>
              </w:rPr>
              <w:t>Main Terms and Policies</w:t>
            </w:r>
            <w:r>
              <w:rPr>
                <w:rStyle w:val="normaltextrun"/>
                <w:rFonts w:ascii="Calibri" w:hAnsi="Calibri" w:cs="Calibri"/>
                <w:color w:val="000000"/>
                <w:sz w:val="22"/>
                <w:szCs w:val="22"/>
              </w:rPr>
              <w:t xml:space="preserve">) </w:t>
            </w:r>
            <w:r w:rsidRPr="007972D7">
              <w:rPr>
                <w:rStyle w:val="normaltextrun"/>
                <w:rFonts w:ascii="Calibri" w:hAnsi="Calibri" w:cs="Calibri"/>
                <w:color w:val="000000"/>
                <w:sz w:val="22"/>
                <w:szCs w:val="22"/>
              </w:rPr>
              <w:t xml:space="preserve">upon starting the UPI onboarding </w:t>
            </w:r>
            <w:r>
              <w:rPr>
                <w:rStyle w:val="normaltextrun"/>
                <w:rFonts w:ascii="Calibri" w:hAnsi="Calibri" w:cs="Calibri"/>
                <w:color w:val="000000"/>
                <w:sz w:val="22"/>
                <w:szCs w:val="22"/>
              </w:rPr>
              <w:t xml:space="preserve">process as they will </w:t>
            </w:r>
            <w:r w:rsidRPr="007972D7">
              <w:rPr>
                <w:rStyle w:val="normaltextrun"/>
                <w:rFonts w:ascii="Calibri" w:hAnsi="Calibri" w:cs="Calibri"/>
                <w:color w:val="000000"/>
                <w:sz w:val="22"/>
                <w:szCs w:val="22"/>
              </w:rPr>
              <w:t>be interacting with the onboarding system prior to reaching the step of signing the Subscription Form</w:t>
            </w:r>
            <w:r>
              <w:rPr>
                <w:rStyle w:val="normaltextrun"/>
                <w:rFonts w:ascii="Calibri" w:hAnsi="Calibri" w:cs="Calibri"/>
                <w:color w:val="000000"/>
                <w:sz w:val="22"/>
                <w:szCs w:val="22"/>
              </w:rPr>
              <w:t xml:space="preserve">. </w:t>
            </w:r>
          </w:p>
          <w:p w14:paraId="11D301AB" w14:textId="77777777" w:rsidR="004B0B9E" w:rsidRDefault="004B0B9E" w:rsidP="004B0B9E">
            <w:pPr>
              <w:jc w:val="both"/>
              <w:rPr>
                <w:lang w:val="en-GB"/>
              </w:rPr>
            </w:pPr>
            <w:r>
              <w:rPr>
                <w:lang w:val="en-GB"/>
              </w:rPr>
              <w:t xml:space="preserve">As part of an effective cost control </w:t>
            </w:r>
            <w:r w:rsidRPr="008376D0">
              <w:rPr>
                <w:lang w:val="en-GB"/>
              </w:rPr>
              <w:t xml:space="preserve">framework, the DSB proposes to limit the number of client staff per fee-paying entity who can be granted role-based access to use the COSP free-of-charge (i.e., included in the User fees) as part of the core cost recovery framework. </w:t>
            </w:r>
            <w:r w:rsidRPr="00BC4FBB">
              <w:rPr>
                <w:lang w:val="en-GB"/>
              </w:rPr>
              <w:t>Subject to industry feedback, the DSB will evaluate whether it should also facilitate staff access for additional employees as an optional service.</w:t>
            </w:r>
            <w:r>
              <w:rPr>
                <w:lang w:val="en-GB"/>
              </w:rPr>
              <w:t xml:space="preserve"> </w:t>
            </w:r>
          </w:p>
          <w:p w14:paraId="66F3C846" w14:textId="6194A474" w:rsidR="004B0B9E" w:rsidRDefault="004B0B9E" w:rsidP="004B0B9E">
            <w:pPr>
              <w:jc w:val="both"/>
              <w:rPr>
                <w:lang w:val="en-GB"/>
              </w:rPr>
            </w:pPr>
            <w:r w:rsidRPr="002D34DB">
              <w:rPr>
                <w:lang w:val="en-GB"/>
              </w:rPr>
              <w:t xml:space="preserve">These steps may be completed by </w:t>
            </w:r>
            <w:r>
              <w:rPr>
                <w:lang w:val="en-GB"/>
              </w:rPr>
              <w:t xml:space="preserve">a single or multiple </w:t>
            </w:r>
            <w:r w:rsidRPr="002D34DB">
              <w:rPr>
                <w:lang w:val="en-GB"/>
              </w:rPr>
              <w:t>client member</w:t>
            </w:r>
            <w:r>
              <w:rPr>
                <w:lang w:val="en-GB"/>
              </w:rPr>
              <w:t>(</w:t>
            </w:r>
            <w:r w:rsidRPr="002D34DB">
              <w:rPr>
                <w:lang w:val="en-GB"/>
              </w:rPr>
              <w:t>s</w:t>
            </w:r>
            <w:r>
              <w:rPr>
                <w:lang w:val="en-GB"/>
              </w:rPr>
              <w:t>)</w:t>
            </w:r>
            <w:r w:rsidRPr="002D34DB">
              <w:rPr>
                <w:lang w:val="en-GB"/>
              </w:rPr>
              <w:t xml:space="preserve"> of staff</w:t>
            </w:r>
            <w:r>
              <w:rPr>
                <w:lang w:val="en-GB"/>
              </w:rPr>
              <w:t xml:space="preserve"> with the necessary authority. </w:t>
            </w:r>
            <w:r w:rsidRPr="00FF5A99">
              <w:rPr>
                <w:lang w:val="en-GB"/>
              </w:rPr>
              <w:t xml:space="preserve">The onus is on the member of staff acting on the behalf of a given </w:t>
            </w:r>
            <w:r>
              <w:rPr>
                <w:lang w:val="en-GB"/>
              </w:rPr>
              <w:t>User</w:t>
            </w:r>
            <w:r w:rsidRPr="00FF5A99">
              <w:rPr>
                <w:lang w:val="en-GB"/>
              </w:rPr>
              <w:t xml:space="preserve"> entity to have the necessary authority to do so when, for example </w:t>
            </w:r>
            <w:r>
              <w:rPr>
                <w:lang w:val="en-GB"/>
              </w:rPr>
              <w:t>they</w:t>
            </w:r>
            <w:r w:rsidRPr="00FF5A99">
              <w:rPr>
                <w:lang w:val="en-GB"/>
              </w:rPr>
              <w:t xml:space="preserve"> register for use of the </w:t>
            </w:r>
            <w:r>
              <w:rPr>
                <w:lang w:val="en-GB"/>
              </w:rPr>
              <w:t>COSP</w:t>
            </w:r>
            <w:r w:rsidRPr="00FF5A99">
              <w:rPr>
                <w:lang w:val="en-GB"/>
              </w:rPr>
              <w:t xml:space="preserve">, use the platform, accepts Terms &amp; </w:t>
            </w:r>
            <w:proofErr w:type="gramStart"/>
            <w:r w:rsidRPr="00FF5A99">
              <w:rPr>
                <w:lang w:val="en-GB"/>
              </w:rPr>
              <w:t>Conditions</w:t>
            </w:r>
            <w:proofErr w:type="gramEnd"/>
            <w:r w:rsidRPr="00FF5A99">
              <w:rPr>
                <w:lang w:val="en-GB"/>
              </w:rPr>
              <w:t xml:space="preserve"> and execute Subscription Form.</w:t>
            </w:r>
          </w:p>
          <w:p w14:paraId="3DCA0BD4" w14:textId="77777777" w:rsidR="004B0B9E" w:rsidRDefault="004B0B9E" w:rsidP="004B0B9E">
            <w:pPr>
              <w:jc w:val="both"/>
              <w:rPr>
                <w:lang w:val="en-GB"/>
              </w:rPr>
            </w:pPr>
          </w:p>
          <w:p w14:paraId="31570663" w14:textId="0AC946FF" w:rsidR="004B0B9E" w:rsidRDefault="004B0B9E" w:rsidP="004B0B9E">
            <w:pPr>
              <w:jc w:val="both"/>
              <w:rPr>
                <w:lang w:val="en-GB"/>
              </w:rPr>
            </w:pPr>
            <w:r>
              <w:rPr>
                <w:lang w:val="en-GB"/>
              </w:rPr>
              <w:t>New OTC ISIN Users will continue to follow the existing manual approach until such a point that there is agreement to a potential roadmap to roll-out the COSP to OTC ISIN Users. Such a roadmap will be subject to further analysis and stakeholder engagement.</w:t>
            </w:r>
          </w:p>
          <w:p w14:paraId="070A3F5F" w14:textId="77777777" w:rsidR="00737207" w:rsidRDefault="004B0B9E" w:rsidP="003942A4">
            <w:pPr>
              <w:rPr>
                <w:lang w:val="en-GB"/>
              </w:rPr>
            </w:pPr>
            <w:r>
              <w:rPr>
                <w:lang w:val="en-GB"/>
              </w:rPr>
              <w:t>The DSB expects that Registered Users (who do not pay a fee to use the DSB’s services) will manage their own login to access the UPI Service via the web-based manual (GUI) mechanism. As such, s</w:t>
            </w:r>
            <w:r w:rsidRPr="000837D8">
              <w:rPr>
                <w:lang w:val="en-GB"/>
              </w:rPr>
              <w:t xml:space="preserve">hould </w:t>
            </w:r>
            <w:r>
              <w:rPr>
                <w:lang w:val="en-GB"/>
              </w:rPr>
              <w:t>for example a UPI Registered User change firms, and therefore their email address changes</w:t>
            </w:r>
            <w:r w:rsidRPr="000837D8">
              <w:rPr>
                <w:lang w:val="en-GB"/>
              </w:rPr>
              <w:t xml:space="preserve">, Registered </w:t>
            </w:r>
            <w:r>
              <w:rPr>
                <w:lang w:val="en-GB"/>
              </w:rPr>
              <w:t>User</w:t>
            </w:r>
            <w:r w:rsidRPr="000837D8">
              <w:rPr>
                <w:lang w:val="en-GB"/>
              </w:rPr>
              <w:t>s will be required to re-register</w:t>
            </w:r>
            <w:r>
              <w:rPr>
                <w:lang w:val="en-GB"/>
              </w:rPr>
              <w:t xml:space="preserve"> and create a new account</w:t>
            </w:r>
            <w:r w:rsidRPr="000837D8">
              <w:rPr>
                <w:lang w:val="en-GB"/>
              </w:rPr>
              <w:t>.</w:t>
            </w:r>
            <w:r>
              <w:rPr>
                <w:lang w:val="en-GB"/>
              </w:rPr>
              <w:t xml:space="preserve"> This approach relates to new UPI clients upon launch of the platform. </w:t>
            </w:r>
            <w:r w:rsidRPr="003942A4">
              <w:rPr>
                <w:lang w:val="en-GB"/>
              </w:rPr>
              <w:t>A roadmap to transition to the same approach for new OTC ISIN Registered Users will be subject to further analysis and stakeholder engagement.</w:t>
            </w:r>
          </w:p>
          <w:p w14:paraId="4CE6899C" w14:textId="47A4597F" w:rsidR="003942A4" w:rsidRPr="00D51A8A" w:rsidRDefault="003942A4" w:rsidP="003942A4">
            <w:pPr>
              <w:rPr>
                <w:rStyle w:val="normaltextrun"/>
                <w:lang w:val="en-GB"/>
              </w:rPr>
            </w:pPr>
          </w:p>
        </w:tc>
        <w:tc>
          <w:tcPr>
            <w:tcW w:w="4961" w:type="dxa"/>
            <w:tcBorders>
              <w:top w:val="single" w:sz="4" w:space="0" w:color="30AEB9"/>
              <w:left w:val="single" w:sz="4" w:space="0" w:color="30AEB9"/>
              <w:bottom w:val="single" w:sz="4" w:space="0" w:color="30AEB9"/>
              <w:right w:val="single" w:sz="4" w:space="0" w:color="30AEB9"/>
            </w:tcBorders>
            <w:vAlign w:val="center"/>
          </w:tcPr>
          <w:p w14:paraId="433A038F" w14:textId="77777777" w:rsidR="00737207" w:rsidRPr="00DB7576" w:rsidRDefault="00737207" w:rsidP="00F610E2">
            <w:pPr>
              <w:rPr>
                <w:rFonts w:cstheme="minorHAnsi"/>
              </w:rPr>
            </w:pPr>
          </w:p>
        </w:tc>
      </w:tr>
      <w:tr w:rsidR="007625FD" w:rsidRPr="00DB7576" w14:paraId="08B8C17B" w14:textId="77777777" w:rsidTr="00307739">
        <w:trPr>
          <w:trHeight w:val="1134"/>
        </w:trPr>
        <w:tc>
          <w:tcPr>
            <w:tcW w:w="704" w:type="dxa"/>
            <w:tcBorders>
              <w:top w:val="single" w:sz="4" w:space="0" w:color="30AEB9"/>
              <w:left w:val="single" w:sz="4" w:space="0" w:color="30AEB9"/>
              <w:bottom w:val="single" w:sz="4" w:space="0" w:color="30AEB9"/>
              <w:right w:val="single" w:sz="4" w:space="0" w:color="30AEB9"/>
            </w:tcBorders>
            <w:vAlign w:val="center"/>
          </w:tcPr>
          <w:p w14:paraId="7173239A" w14:textId="77777777" w:rsidR="007625FD" w:rsidRPr="00DB7576" w:rsidRDefault="007625FD" w:rsidP="00EB317C">
            <w:pPr>
              <w:spacing w:line="276" w:lineRule="auto"/>
              <w:rPr>
                <w:rFonts w:cstheme="minorHAnsi"/>
              </w:rPr>
            </w:pPr>
            <w:r>
              <w:rPr>
                <w:rFonts w:cstheme="minorHAnsi"/>
              </w:rPr>
              <w:t>3a</w:t>
            </w:r>
          </w:p>
        </w:tc>
        <w:tc>
          <w:tcPr>
            <w:tcW w:w="7938" w:type="dxa"/>
            <w:tcBorders>
              <w:top w:val="single" w:sz="4" w:space="0" w:color="30AEB9"/>
              <w:left w:val="single" w:sz="4" w:space="0" w:color="30AEB9"/>
              <w:bottom w:val="single" w:sz="4" w:space="0" w:color="30AEB9"/>
              <w:right w:val="single" w:sz="4" w:space="0" w:color="30AEB9"/>
            </w:tcBorders>
            <w:vAlign w:val="center"/>
          </w:tcPr>
          <w:p w14:paraId="6929B3EB" w14:textId="1F8A8B56" w:rsidR="007625FD" w:rsidRPr="00C7049B" w:rsidRDefault="005F2FA4" w:rsidP="00EB317C">
            <w:pPr>
              <w:spacing w:line="276" w:lineRule="auto"/>
              <w:rPr>
                <w:rFonts w:cstheme="minorHAnsi"/>
              </w:rPr>
            </w:pPr>
            <w:r w:rsidRPr="00D51A8A">
              <w:rPr>
                <w:rStyle w:val="normaltextrun"/>
                <w:rFonts w:cstheme="minorHAnsi"/>
                <w:color w:val="000000"/>
              </w:rPr>
              <w:t xml:space="preserve">Does industry agree with the scope of the Platform terms and conditions at the point of starting the registration process on the COSP, to cover use of the platform prior to signing the Access </w:t>
            </w:r>
            <w:r w:rsidR="005D04E9">
              <w:rPr>
                <w:rStyle w:val="normaltextrun"/>
                <w:rFonts w:cstheme="minorHAnsi"/>
                <w:color w:val="000000"/>
              </w:rPr>
              <w:t>and</w:t>
            </w:r>
            <w:r w:rsidRPr="00D51A8A">
              <w:rPr>
                <w:rStyle w:val="normaltextrun"/>
                <w:rFonts w:cstheme="minorHAnsi"/>
                <w:color w:val="000000"/>
              </w:rPr>
              <w:t xml:space="preserve"> Usage agreement?</w:t>
            </w:r>
          </w:p>
        </w:tc>
        <w:tc>
          <w:tcPr>
            <w:tcW w:w="4961" w:type="dxa"/>
            <w:tcBorders>
              <w:top w:val="single" w:sz="4" w:space="0" w:color="30AEB9"/>
              <w:left w:val="single" w:sz="4" w:space="0" w:color="30AEB9"/>
              <w:bottom w:val="single" w:sz="4" w:space="0" w:color="30AEB9"/>
              <w:right w:val="single" w:sz="4" w:space="0" w:color="30AEB9"/>
            </w:tcBorders>
            <w:vAlign w:val="center"/>
          </w:tcPr>
          <w:p w14:paraId="7FE82AA4" w14:textId="77777777" w:rsidR="007625FD" w:rsidRPr="00DB7576" w:rsidRDefault="007625FD" w:rsidP="00EB317C">
            <w:pPr>
              <w:spacing w:line="276" w:lineRule="auto"/>
              <w:rPr>
                <w:rFonts w:cstheme="minorHAnsi"/>
              </w:rPr>
            </w:pPr>
          </w:p>
        </w:tc>
      </w:tr>
      <w:tr w:rsidR="007625FD" w:rsidRPr="00DB7576" w14:paraId="75FA51FA" w14:textId="77777777" w:rsidTr="00307739">
        <w:trPr>
          <w:trHeight w:val="1134"/>
        </w:trPr>
        <w:tc>
          <w:tcPr>
            <w:tcW w:w="704" w:type="dxa"/>
            <w:tcBorders>
              <w:top w:val="single" w:sz="4" w:space="0" w:color="30AEB9"/>
              <w:left w:val="single" w:sz="4" w:space="0" w:color="30AEB9"/>
              <w:bottom w:val="single" w:sz="4" w:space="0" w:color="30AEB9"/>
              <w:right w:val="single" w:sz="4" w:space="0" w:color="30AEB9"/>
            </w:tcBorders>
            <w:vAlign w:val="center"/>
          </w:tcPr>
          <w:p w14:paraId="32E32E60" w14:textId="77777777" w:rsidR="007625FD" w:rsidDel="007057A6" w:rsidRDefault="007625FD" w:rsidP="00EB317C">
            <w:pPr>
              <w:rPr>
                <w:rFonts w:cstheme="minorHAnsi"/>
              </w:rPr>
            </w:pPr>
            <w:r>
              <w:rPr>
                <w:rFonts w:cstheme="minorHAnsi"/>
              </w:rPr>
              <w:t>3b</w:t>
            </w:r>
          </w:p>
        </w:tc>
        <w:tc>
          <w:tcPr>
            <w:tcW w:w="7938" w:type="dxa"/>
            <w:tcBorders>
              <w:top w:val="single" w:sz="4" w:space="0" w:color="30AEB9"/>
              <w:left w:val="single" w:sz="4" w:space="0" w:color="30AEB9"/>
              <w:bottom w:val="single" w:sz="4" w:space="0" w:color="30AEB9"/>
              <w:right w:val="single" w:sz="4" w:space="0" w:color="30AEB9"/>
            </w:tcBorders>
            <w:vAlign w:val="center"/>
          </w:tcPr>
          <w:p w14:paraId="5076F689" w14:textId="45365325" w:rsidR="007625FD" w:rsidRPr="00D51A8A" w:rsidDel="007057A6" w:rsidRDefault="007625FD" w:rsidP="00EB317C">
            <w:pPr>
              <w:rPr>
                <w:rStyle w:val="eop"/>
                <w:rFonts w:cstheme="minorHAnsi"/>
                <w:color w:val="000000"/>
              </w:rPr>
            </w:pPr>
            <w:r w:rsidRPr="00F610E2">
              <w:rPr>
                <w:rStyle w:val="normaltextrun"/>
                <w:rFonts w:cstheme="minorHAnsi"/>
                <w:color w:val="000000"/>
              </w:rPr>
              <w:t xml:space="preserve">Are there other terms you would expect to see reflected? </w:t>
            </w:r>
            <w:r w:rsidR="000756CC" w:rsidRPr="00D51A8A">
              <w:rPr>
                <w:rStyle w:val="normaltextrun"/>
                <w:rFonts w:cstheme="minorHAnsi"/>
                <w:color w:val="000000"/>
              </w:rPr>
              <w:t>Please provide a clear rational for any proposed additions or amendments.</w:t>
            </w:r>
          </w:p>
        </w:tc>
        <w:tc>
          <w:tcPr>
            <w:tcW w:w="4961" w:type="dxa"/>
            <w:tcBorders>
              <w:top w:val="single" w:sz="4" w:space="0" w:color="30AEB9"/>
              <w:left w:val="single" w:sz="4" w:space="0" w:color="30AEB9"/>
              <w:bottom w:val="single" w:sz="4" w:space="0" w:color="30AEB9"/>
              <w:right w:val="single" w:sz="4" w:space="0" w:color="30AEB9"/>
            </w:tcBorders>
            <w:vAlign w:val="center"/>
          </w:tcPr>
          <w:p w14:paraId="7EDCC18E" w14:textId="77777777" w:rsidR="007625FD" w:rsidRPr="00DB7576" w:rsidRDefault="007625FD" w:rsidP="00EB317C">
            <w:pPr>
              <w:rPr>
                <w:rFonts w:cstheme="minorHAnsi"/>
              </w:rPr>
            </w:pPr>
          </w:p>
        </w:tc>
      </w:tr>
      <w:tr w:rsidR="007625FD" w:rsidRPr="00DB7576" w14:paraId="0D211DE3" w14:textId="77777777" w:rsidTr="00307739">
        <w:trPr>
          <w:trHeight w:val="1134"/>
        </w:trPr>
        <w:tc>
          <w:tcPr>
            <w:tcW w:w="704" w:type="dxa"/>
            <w:tcBorders>
              <w:top w:val="single" w:sz="4" w:space="0" w:color="30AEB9"/>
              <w:left w:val="single" w:sz="4" w:space="0" w:color="30AEB9"/>
              <w:bottom w:val="single" w:sz="4" w:space="0" w:color="30AEB9"/>
              <w:right w:val="single" w:sz="4" w:space="0" w:color="30AEB9"/>
            </w:tcBorders>
            <w:vAlign w:val="center"/>
          </w:tcPr>
          <w:p w14:paraId="1F27EB85" w14:textId="77777777" w:rsidR="007625FD" w:rsidDel="007057A6" w:rsidRDefault="007625FD" w:rsidP="00EB317C">
            <w:pPr>
              <w:rPr>
                <w:rFonts w:cstheme="minorHAnsi"/>
              </w:rPr>
            </w:pPr>
            <w:r>
              <w:rPr>
                <w:rFonts w:cstheme="minorHAnsi"/>
              </w:rPr>
              <w:t>3c</w:t>
            </w:r>
          </w:p>
        </w:tc>
        <w:tc>
          <w:tcPr>
            <w:tcW w:w="7938" w:type="dxa"/>
            <w:tcBorders>
              <w:top w:val="single" w:sz="4" w:space="0" w:color="30AEB9"/>
              <w:left w:val="single" w:sz="4" w:space="0" w:color="30AEB9"/>
              <w:bottom w:val="single" w:sz="4" w:space="0" w:color="30AEB9"/>
              <w:right w:val="single" w:sz="4" w:space="0" w:color="30AEB9"/>
            </w:tcBorders>
            <w:vAlign w:val="center"/>
          </w:tcPr>
          <w:p w14:paraId="5982FEFE" w14:textId="36EE6C82" w:rsidR="007625FD" w:rsidRPr="00C7049B" w:rsidDel="007057A6" w:rsidRDefault="003F6F66" w:rsidP="00EB317C">
            <w:pPr>
              <w:rPr>
                <w:rStyle w:val="eop"/>
                <w:rFonts w:cstheme="minorHAnsi"/>
              </w:rPr>
            </w:pPr>
            <w:r w:rsidRPr="00D51A8A">
              <w:rPr>
                <w:rStyle w:val="normaltextrun"/>
                <w:rFonts w:cstheme="minorHAnsi"/>
                <w:color w:val="000000"/>
              </w:rPr>
              <w:t xml:space="preserve">Does you think that a fair approach would be to cap the number roles made available to fee-paying clients to use the COSP, and to tier these limits of how many can be assigned per client entity based on </w:t>
            </w:r>
            <w:r w:rsidRPr="00D51A8A" w:rsidDel="00D3207B">
              <w:rPr>
                <w:rStyle w:val="normaltextrun"/>
                <w:rFonts w:cstheme="minorHAnsi"/>
                <w:color w:val="000000"/>
              </w:rPr>
              <w:t>User</w:t>
            </w:r>
            <w:r w:rsidRPr="00D51A8A">
              <w:rPr>
                <w:rStyle w:val="normaltextrun"/>
                <w:rFonts w:cstheme="minorHAnsi"/>
                <w:color w:val="000000"/>
              </w:rPr>
              <w:t xml:space="preserve"> Type?</w:t>
            </w:r>
          </w:p>
        </w:tc>
        <w:tc>
          <w:tcPr>
            <w:tcW w:w="4961" w:type="dxa"/>
            <w:tcBorders>
              <w:top w:val="single" w:sz="4" w:space="0" w:color="30AEB9"/>
              <w:left w:val="single" w:sz="4" w:space="0" w:color="30AEB9"/>
              <w:bottom w:val="single" w:sz="4" w:space="0" w:color="30AEB9"/>
              <w:right w:val="single" w:sz="4" w:space="0" w:color="30AEB9"/>
            </w:tcBorders>
            <w:vAlign w:val="center"/>
          </w:tcPr>
          <w:p w14:paraId="117D4086" w14:textId="77777777" w:rsidR="007625FD" w:rsidRPr="00DB7576" w:rsidRDefault="007625FD" w:rsidP="00EB317C">
            <w:pPr>
              <w:rPr>
                <w:rFonts w:cstheme="minorHAnsi"/>
              </w:rPr>
            </w:pPr>
          </w:p>
        </w:tc>
      </w:tr>
      <w:tr w:rsidR="007625FD" w:rsidRPr="00DB7576" w14:paraId="7DC8085C" w14:textId="77777777" w:rsidTr="00307739">
        <w:trPr>
          <w:trHeight w:val="1134"/>
        </w:trPr>
        <w:tc>
          <w:tcPr>
            <w:tcW w:w="704" w:type="dxa"/>
            <w:tcBorders>
              <w:top w:val="single" w:sz="4" w:space="0" w:color="30AEB9"/>
              <w:left w:val="single" w:sz="4" w:space="0" w:color="30AEB9"/>
              <w:bottom w:val="single" w:sz="4" w:space="0" w:color="30AEB9"/>
              <w:right w:val="single" w:sz="4" w:space="0" w:color="30AEB9"/>
            </w:tcBorders>
            <w:vAlign w:val="center"/>
          </w:tcPr>
          <w:p w14:paraId="4A8452B3" w14:textId="77777777" w:rsidR="007625FD" w:rsidDel="007057A6" w:rsidRDefault="007625FD" w:rsidP="00EB317C">
            <w:pPr>
              <w:rPr>
                <w:rFonts w:cstheme="minorHAnsi"/>
              </w:rPr>
            </w:pPr>
            <w:r>
              <w:rPr>
                <w:rFonts w:cstheme="minorHAnsi"/>
              </w:rPr>
              <w:t>3d</w:t>
            </w:r>
          </w:p>
        </w:tc>
        <w:tc>
          <w:tcPr>
            <w:tcW w:w="7938" w:type="dxa"/>
            <w:tcBorders>
              <w:top w:val="single" w:sz="4" w:space="0" w:color="30AEB9"/>
              <w:left w:val="single" w:sz="4" w:space="0" w:color="30AEB9"/>
              <w:bottom w:val="single" w:sz="4" w:space="0" w:color="30AEB9"/>
              <w:right w:val="single" w:sz="4" w:space="0" w:color="30AEB9"/>
            </w:tcBorders>
            <w:vAlign w:val="center"/>
          </w:tcPr>
          <w:p w14:paraId="51657092" w14:textId="73C58D77" w:rsidR="007625FD" w:rsidRPr="00C7049B" w:rsidDel="007057A6" w:rsidRDefault="006A14F9" w:rsidP="00EB317C">
            <w:pPr>
              <w:rPr>
                <w:rStyle w:val="eop"/>
                <w:rFonts w:cstheme="minorHAnsi"/>
              </w:rPr>
            </w:pPr>
            <w:r w:rsidRPr="00D51A8A">
              <w:rPr>
                <w:rStyle w:val="normaltextrun"/>
                <w:rFonts w:cstheme="minorHAnsi"/>
                <w:color w:val="000000"/>
              </w:rPr>
              <w:t>If not, please outline an alternative approach, including clear rationale for your proposal.</w:t>
            </w:r>
          </w:p>
        </w:tc>
        <w:tc>
          <w:tcPr>
            <w:tcW w:w="4961" w:type="dxa"/>
            <w:tcBorders>
              <w:top w:val="single" w:sz="4" w:space="0" w:color="30AEB9"/>
              <w:left w:val="single" w:sz="4" w:space="0" w:color="30AEB9"/>
              <w:bottom w:val="single" w:sz="4" w:space="0" w:color="30AEB9"/>
              <w:right w:val="single" w:sz="4" w:space="0" w:color="30AEB9"/>
            </w:tcBorders>
            <w:vAlign w:val="center"/>
          </w:tcPr>
          <w:p w14:paraId="3B9C7F2F" w14:textId="77777777" w:rsidR="007625FD" w:rsidRPr="00DB7576" w:rsidRDefault="007625FD" w:rsidP="00EB317C">
            <w:pPr>
              <w:rPr>
                <w:rFonts w:cstheme="minorHAnsi"/>
              </w:rPr>
            </w:pPr>
          </w:p>
        </w:tc>
      </w:tr>
      <w:tr w:rsidR="006A14F9" w:rsidRPr="00DB7576" w14:paraId="263E2A01" w14:textId="77777777" w:rsidTr="00307739">
        <w:trPr>
          <w:trHeight w:val="1134"/>
        </w:trPr>
        <w:tc>
          <w:tcPr>
            <w:tcW w:w="704" w:type="dxa"/>
            <w:tcBorders>
              <w:top w:val="single" w:sz="4" w:space="0" w:color="30AEB9"/>
              <w:left w:val="single" w:sz="4" w:space="0" w:color="30AEB9"/>
              <w:bottom w:val="single" w:sz="4" w:space="0" w:color="30AEB9"/>
              <w:right w:val="single" w:sz="4" w:space="0" w:color="30AEB9"/>
            </w:tcBorders>
            <w:vAlign w:val="center"/>
          </w:tcPr>
          <w:p w14:paraId="50ED93BF" w14:textId="0A351C64" w:rsidR="006A14F9" w:rsidRDefault="006A14F9" w:rsidP="00F610E2">
            <w:pPr>
              <w:rPr>
                <w:rFonts w:cstheme="minorHAnsi"/>
              </w:rPr>
            </w:pPr>
            <w:r>
              <w:rPr>
                <w:rFonts w:cstheme="minorHAnsi"/>
              </w:rPr>
              <w:t>4</w:t>
            </w:r>
          </w:p>
        </w:tc>
        <w:tc>
          <w:tcPr>
            <w:tcW w:w="7938" w:type="dxa"/>
            <w:tcBorders>
              <w:top w:val="single" w:sz="4" w:space="0" w:color="30AEB9"/>
              <w:left w:val="single" w:sz="4" w:space="0" w:color="30AEB9"/>
              <w:bottom w:val="single" w:sz="4" w:space="0" w:color="30AEB9"/>
              <w:right w:val="single" w:sz="4" w:space="0" w:color="30AEB9"/>
            </w:tcBorders>
            <w:vAlign w:val="center"/>
          </w:tcPr>
          <w:p w14:paraId="32486212" w14:textId="77777777" w:rsidR="00E87238" w:rsidRPr="00D51A8A" w:rsidRDefault="00E87238" w:rsidP="00E87238">
            <w:pPr>
              <w:rPr>
                <w:b/>
                <w:bCs/>
              </w:rPr>
            </w:pPr>
            <w:r w:rsidRPr="00D51A8A">
              <w:rPr>
                <w:b/>
                <w:bCs/>
              </w:rPr>
              <w:t>LEI for Entity Identity Verification</w:t>
            </w:r>
          </w:p>
          <w:p w14:paraId="422A036D" w14:textId="77777777" w:rsidR="00E87238" w:rsidRPr="004D2B55" w:rsidRDefault="00E87238" w:rsidP="00E87238">
            <w:pPr>
              <w:jc w:val="both"/>
              <w:rPr>
                <w:lang w:val="en-GB"/>
              </w:rPr>
            </w:pPr>
          </w:p>
          <w:p w14:paraId="48BADD45" w14:textId="6B42F429" w:rsidR="004B0B9E" w:rsidRPr="00394795" w:rsidRDefault="004B0B9E" w:rsidP="004B0B9E">
            <w:pPr>
              <w:jc w:val="both"/>
              <w:rPr>
                <w:lang w:val="en-GB"/>
              </w:rPr>
            </w:pPr>
            <w:r w:rsidRPr="00394795">
              <w:rPr>
                <w:lang w:val="en-GB"/>
              </w:rPr>
              <w:lastRenderedPageBreak/>
              <w:t>To register for the UPI Service, the</w:t>
            </w:r>
            <w:r w:rsidRPr="006F5202">
              <w:rPr>
                <w:lang w:val="en-GB"/>
              </w:rPr>
              <w:t xml:space="preserve"> DSB will require UPI </w:t>
            </w:r>
            <w:r w:rsidRPr="001F656C">
              <w:rPr>
                <w:lang w:val="en-GB"/>
              </w:rPr>
              <w:t>User</w:t>
            </w:r>
            <w:r w:rsidRPr="003E73F2">
              <w:rPr>
                <w:lang w:val="en-GB"/>
              </w:rPr>
              <w:t>s</w:t>
            </w:r>
            <w:r w:rsidRPr="00017ED4">
              <w:rPr>
                <w:lang w:val="en-GB"/>
              </w:rPr>
              <w:t xml:space="preserve"> to provide a</w:t>
            </w:r>
            <w:r>
              <w:rPr>
                <w:lang w:val="en-GB"/>
              </w:rPr>
              <w:t>n active</w:t>
            </w:r>
            <w:r w:rsidRPr="00017ED4">
              <w:rPr>
                <w:lang w:val="en-GB"/>
              </w:rPr>
              <w:t xml:space="preserve"> Legal Entity Identifier (LEI) to </w:t>
            </w:r>
            <w:r w:rsidRPr="00A159DE">
              <w:rPr>
                <w:lang w:val="en-GB"/>
              </w:rPr>
              <w:t xml:space="preserve">enable the DSB to verify the identity of the User entity against the central record held by the Global Legal Entity Identifier Foundation (GLEIF). </w:t>
            </w:r>
          </w:p>
          <w:p w14:paraId="43C78632" w14:textId="77777777" w:rsidR="004B0B9E" w:rsidRDefault="004B0B9E" w:rsidP="004B0B9E">
            <w:pPr>
              <w:jc w:val="both"/>
              <w:rPr>
                <w:lang w:val="en-GB"/>
              </w:rPr>
            </w:pPr>
            <w:r w:rsidRPr="006F5202">
              <w:rPr>
                <w:lang w:val="en-GB"/>
              </w:rPr>
              <w:t>There may be a lead time to obtain an</w:t>
            </w:r>
            <w:r w:rsidRPr="001F656C">
              <w:rPr>
                <w:lang w:val="en-GB"/>
              </w:rPr>
              <w:t xml:space="preserve"> LEI with the respective Local Operating Unit (LOU) (an organization authorized to issue LEIs to legal entities). As</w:t>
            </w:r>
            <w:r w:rsidRPr="003E73F2">
              <w:rPr>
                <w:lang w:val="en-GB"/>
              </w:rPr>
              <w:t xml:space="preserve"> such, entities who do not already have an LEI are encouraged to prepare in advance.</w:t>
            </w:r>
            <w:r>
              <w:rPr>
                <w:lang w:val="en-GB"/>
              </w:rPr>
              <w:t xml:space="preserve"> </w:t>
            </w:r>
            <w:r w:rsidRPr="00E40F70">
              <w:rPr>
                <w:lang w:val="en-GB"/>
              </w:rPr>
              <w:t>Clients who are not able to obtain an LEI will be handled on a case-by-case basis</w:t>
            </w:r>
            <w:r>
              <w:rPr>
                <w:lang w:val="en-GB"/>
              </w:rPr>
              <w:t>.</w:t>
            </w:r>
          </w:p>
          <w:p w14:paraId="7D203D83" w14:textId="77777777" w:rsidR="004B0B9E" w:rsidRDefault="004B0B9E" w:rsidP="004B0B9E">
            <w:pPr>
              <w:jc w:val="both"/>
              <w:rPr>
                <w:lang w:val="en-GB"/>
              </w:rPr>
            </w:pPr>
          </w:p>
          <w:p w14:paraId="5873F5BE" w14:textId="77777777" w:rsidR="004B0B9E" w:rsidRPr="00A159DE" w:rsidRDefault="004B0B9E" w:rsidP="004B0B9E">
            <w:pPr>
              <w:jc w:val="both"/>
              <w:rPr>
                <w:lang w:val="en-GB"/>
              </w:rPr>
            </w:pPr>
            <w:r>
              <w:rPr>
                <w:lang w:val="en-GB"/>
              </w:rPr>
              <w:t xml:space="preserve">New fee-paying OTC ISIN Users will not be required to provide an LEI until such time that the COSP is extended to cater for OTC ISIN Users. Existing fee-paying OTC ISIN Users will not need to provide an LEI until they either sign-up to the UPI Service or are transitioned to the new document structure (per the proposal in section </w:t>
            </w:r>
            <w:r>
              <w:rPr>
                <w:lang w:val="en-GB"/>
              </w:rPr>
              <w:fldChar w:fldCharType="begin"/>
            </w:r>
            <w:r>
              <w:rPr>
                <w:lang w:val="en-GB"/>
              </w:rPr>
              <w:instrText xml:space="preserve"> REF _Ref83907780 \r \h  \* MERGEFORMAT </w:instrText>
            </w:r>
            <w:r>
              <w:rPr>
                <w:lang w:val="en-GB"/>
              </w:rPr>
            </w:r>
            <w:r>
              <w:rPr>
                <w:lang w:val="en-GB"/>
              </w:rPr>
              <w:fldChar w:fldCharType="separate"/>
            </w:r>
            <w:r>
              <w:rPr>
                <w:lang w:val="en-GB"/>
              </w:rPr>
              <w:t>5.2</w:t>
            </w:r>
            <w:r>
              <w:rPr>
                <w:lang w:val="en-GB"/>
              </w:rPr>
              <w:fldChar w:fldCharType="end"/>
            </w:r>
            <w:r>
              <w:rPr>
                <w:lang w:val="en-GB"/>
              </w:rPr>
              <w:t>).</w:t>
            </w:r>
          </w:p>
          <w:p w14:paraId="73A76219" w14:textId="77777777" w:rsidR="004B0B9E" w:rsidRPr="0076032B" w:rsidRDefault="004B0B9E" w:rsidP="004B0B9E">
            <w:pPr>
              <w:pStyle w:val="paragraph"/>
              <w:spacing w:before="240" w:beforeAutospacing="0" w:after="120" w:afterAutospacing="0" w:line="276" w:lineRule="auto"/>
              <w:jc w:val="both"/>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In keeping with current practice, e</w:t>
            </w:r>
            <w:r w:rsidRPr="00A159DE">
              <w:rPr>
                <w:rStyle w:val="normaltextrun"/>
                <w:rFonts w:asciiTheme="minorHAnsi" w:hAnsiTheme="minorHAnsi" w:cstheme="minorHAnsi"/>
                <w:color w:val="000000"/>
                <w:sz w:val="22"/>
                <w:szCs w:val="22"/>
              </w:rPr>
              <w:t>ligible Affiliates under the DSB agreement are based on Organisation Type and must have the same Organisation Type as the User entity entering into a contractual agreement with the DSB (signing the Subscription Form).</w:t>
            </w:r>
          </w:p>
          <w:p w14:paraId="4549F92D" w14:textId="77777777" w:rsidR="006A14F9" w:rsidRPr="004D2B55" w:rsidRDefault="006A14F9" w:rsidP="00D51A8A">
            <w:pPr>
              <w:jc w:val="both"/>
              <w:rPr>
                <w:rStyle w:val="normaltextrun"/>
                <w:rFonts w:ascii="Times New Roman" w:hAnsi="Times New Roman" w:cstheme="minorHAnsi"/>
                <w:color w:val="000000"/>
                <w:sz w:val="24"/>
                <w:szCs w:val="24"/>
                <w:lang w:val="en-GB" w:eastAsia="en-GB"/>
              </w:rPr>
            </w:pPr>
          </w:p>
        </w:tc>
        <w:tc>
          <w:tcPr>
            <w:tcW w:w="4961" w:type="dxa"/>
            <w:tcBorders>
              <w:top w:val="single" w:sz="4" w:space="0" w:color="30AEB9"/>
              <w:left w:val="single" w:sz="4" w:space="0" w:color="30AEB9"/>
              <w:bottom w:val="single" w:sz="4" w:space="0" w:color="30AEB9"/>
              <w:right w:val="single" w:sz="4" w:space="0" w:color="30AEB9"/>
            </w:tcBorders>
            <w:vAlign w:val="center"/>
          </w:tcPr>
          <w:p w14:paraId="41E917AD" w14:textId="77777777" w:rsidR="006A14F9" w:rsidRPr="00DB7576" w:rsidRDefault="006A14F9" w:rsidP="00F610E2">
            <w:pPr>
              <w:rPr>
                <w:rFonts w:cstheme="minorHAnsi"/>
              </w:rPr>
            </w:pPr>
          </w:p>
        </w:tc>
      </w:tr>
      <w:tr w:rsidR="007625FD" w:rsidRPr="00DB7576" w14:paraId="55D9D6D2" w14:textId="77777777" w:rsidTr="00307739">
        <w:trPr>
          <w:trHeight w:val="1134"/>
        </w:trPr>
        <w:tc>
          <w:tcPr>
            <w:tcW w:w="704" w:type="dxa"/>
            <w:tcBorders>
              <w:top w:val="single" w:sz="4" w:space="0" w:color="30AEB9"/>
              <w:left w:val="single" w:sz="4" w:space="0" w:color="30AEB9"/>
              <w:bottom w:val="single" w:sz="4" w:space="0" w:color="30AEB9"/>
              <w:right w:val="single" w:sz="4" w:space="0" w:color="30AEB9"/>
            </w:tcBorders>
            <w:vAlign w:val="center"/>
          </w:tcPr>
          <w:p w14:paraId="7DF5ACE6" w14:textId="77777777" w:rsidR="007625FD" w:rsidDel="007057A6" w:rsidRDefault="007625FD" w:rsidP="00EB317C">
            <w:pPr>
              <w:rPr>
                <w:rFonts w:cstheme="minorHAnsi"/>
              </w:rPr>
            </w:pPr>
            <w:r>
              <w:rPr>
                <w:rFonts w:cstheme="minorHAnsi"/>
              </w:rPr>
              <w:t>4a</w:t>
            </w:r>
          </w:p>
        </w:tc>
        <w:tc>
          <w:tcPr>
            <w:tcW w:w="7938" w:type="dxa"/>
            <w:tcBorders>
              <w:top w:val="single" w:sz="4" w:space="0" w:color="30AEB9"/>
              <w:left w:val="single" w:sz="4" w:space="0" w:color="30AEB9"/>
              <w:bottom w:val="single" w:sz="4" w:space="0" w:color="30AEB9"/>
              <w:right w:val="single" w:sz="4" w:space="0" w:color="30AEB9"/>
            </w:tcBorders>
            <w:vAlign w:val="center"/>
          </w:tcPr>
          <w:p w14:paraId="54F700F2" w14:textId="7CD1110D" w:rsidR="007625FD" w:rsidRPr="00C7049B" w:rsidDel="007057A6" w:rsidRDefault="007625FD" w:rsidP="00EB317C">
            <w:pPr>
              <w:rPr>
                <w:rStyle w:val="eop"/>
                <w:rFonts w:cstheme="minorHAnsi"/>
              </w:rPr>
            </w:pPr>
            <w:r w:rsidRPr="00D367BD">
              <w:rPr>
                <w:rStyle w:val="normaltextrun"/>
                <w:rFonts w:cstheme="minorHAnsi"/>
                <w:color w:val="000000"/>
              </w:rPr>
              <w:t xml:space="preserve">Do you think it is prudent and reasonable to mandate the use of the LEI for </w:t>
            </w:r>
            <w:r w:rsidRPr="001440E8">
              <w:rPr>
                <w:rStyle w:val="normaltextrun"/>
                <w:rFonts w:cstheme="minorHAnsi"/>
                <w:color w:val="000000"/>
              </w:rPr>
              <w:t>users of the UPI Service</w:t>
            </w:r>
            <w:r w:rsidRPr="00D367BD">
              <w:rPr>
                <w:rStyle w:val="normaltextrun"/>
                <w:rFonts w:cstheme="minorHAnsi"/>
                <w:color w:val="000000"/>
              </w:rPr>
              <w:t>?</w:t>
            </w:r>
          </w:p>
        </w:tc>
        <w:tc>
          <w:tcPr>
            <w:tcW w:w="4961" w:type="dxa"/>
            <w:tcBorders>
              <w:top w:val="single" w:sz="4" w:space="0" w:color="30AEB9"/>
              <w:left w:val="single" w:sz="4" w:space="0" w:color="30AEB9"/>
              <w:bottom w:val="single" w:sz="4" w:space="0" w:color="30AEB9"/>
              <w:right w:val="single" w:sz="4" w:space="0" w:color="30AEB9"/>
            </w:tcBorders>
            <w:vAlign w:val="center"/>
          </w:tcPr>
          <w:p w14:paraId="22EC1477" w14:textId="77777777" w:rsidR="007625FD" w:rsidRPr="00DB7576" w:rsidRDefault="007625FD" w:rsidP="00EB317C">
            <w:pPr>
              <w:rPr>
                <w:rFonts w:cstheme="minorHAnsi"/>
              </w:rPr>
            </w:pPr>
          </w:p>
        </w:tc>
      </w:tr>
      <w:tr w:rsidR="007625FD" w:rsidRPr="00DB7576" w14:paraId="4072D45B" w14:textId="77777777" w:rsidTr="00307739">
        <w:trPr>
          <w:trHeight w:val="1134"/>
        </w:trPr>
        <w:tc>
          <w:tcPr>
            <w:tcW w:w="704" w:type="dxa"/>
            <w:tcBorders>
              <w:top w:val="single" w:sz="4" w:space="0" w:color="30AEB9"/>
              <w:left w:val="single" w:sz="4" w:space="0" w:color="30AEB9"/>
              <w:bottom w:val="single" w:sz="4" w:space="0" w:color="30AEB9"/>
              <w:right w:val="single" w:sz="4" w:space="0" w:color="30AEB9"/>
            </w:tcBorders>
            <w:vAlign w:val="center"/>
          </w:tcPr>
          <w:p w14:paraId="21131BF8" w14:textId="77777777" w:rsidR="007625FD" w:rsidDel="007057A6" w:rsidRDefault="007625FD" w:rsidP="00EB317C">
            <w:pPr>
              <w:rPr>
                <w:rFonts w:cstheme="minorHAnsi"/>
              </w:rPr>
            </w:pPr>
            <w:r>
              <w:rPr>
                <w:rFonts w:cstheme="minorHAnsi"/>
              </w:rPr>
              <w:t>4b</w:t>
            </w:r>
          </w:p>
        </w:tc>
        <w:tc>
          <w:tcPr>
            <w:tcW w:w="7938" w:type="dxa"/>
            <w:tcBorders>
              <w:top w:val="single" w:sz="4" w:space="0" w:color="30AEB9"/>
              <w:left w:val="single" w:sz="4" w:space="0" w:color="30AEB9"/>
              <w:bottom w:val="single" w:sz="4" w:space="0" w:color="30AEB9"/>
              <w:right w:val="single" w:sz="4" w:space="0" w:color="30AEB9"/>
            </w:tcBorders>
            <w:vAlign w:val="center"/>
          </w:tcPr>
          <w:p w14:paraId="7524BF39" w14:textId="7B88259E" w:rsidR="007625FD" w:rsidRPr="00C7049B" w:rsidDel="007057A6" w:rsidRDefault="00AC4F02" w:rsidP="00EB317C">
            <w:pPr>
              <w:rPr>
                <w:rStyle w:val="eop"/>
                <w:rFonts w:cstheme="minorHAnsi"/>
              </w:rPr>
            </w:pPr>
            <w:r w:rsidRPr="00D51A8A">
              <w:rPr>
                <w:rStyle w:val="normaltextrun"/>
                <w:rFonts w:cstheme="minorHAnsi"/>
                <w:color w:val="000000"/>
              </w:rPr>
              <w:t>If not, please advise of your concerns including a clear statement of your rationale, and any alternative approach.</w:t>
            </w:r>
          </w:p>
        </w:tc>
        <w:tc>
          <w:tcPr>
            <w:tcW w:w="4961" w:type="dxa"/>
            <w:tcBorders>
              <w:top w:val="single" w:sz="4" w:space="0" w:color="30AEB9"/>
              <w:left w:val="single" w:sz="4" w:space="0" w:color="30AEB9"/>
              <w:bottom w:val="single" w:sz="4" w:space="0" w:color="30AEB9"/>
              <w:right w:val="single" w:sz="4" w:space="0" w:color="30AEB9"/>
            </w:tcBorders>
            <w:vAlign w:val="center"/>
          </w:tcPr>
          <w:p w14:paraId="1DC8EE83" w14:textId="77777777" w:rsidR="007625FD" w:rsidRPr="00DB7576" w:rsidRDefault="007625FD" w:rsidP="00EB317C">
            <w:pPr>
              <w:rPr>
                <w:rFonts w:cstheme="minorHAnsi"/>
              </w:rPr>
            </w:pPr>
          </w:p>
        </w:tc>
      </w:tr>
      <w:tr w:rsidR="007625FD" w:rsidRPr="00DB7576" w14:paraId="26484056" w14:textId="77777777" w:rsidTr="00307739">
        <w:trPr>
          <w:trHeight w:val="1134"/>
        </w:trPr>
        <w:tc>
          <w:tcPr>
            <w:tcW w:w="704" w:type="dxa"/>
            <w:vAlign w:val="center"/>
          </w:tcPr>
          <w:p w14:paraId="10498CD0" w14:textId="77777777" w:rsidR="007625FD" w:rsidRDefault="007625FD" w:rsidP="00EB317C">
            <w:pPr>
              <w:rPr>
                <w:rFonts w:cstheme="minorHAnsi"/>
              </w:rPr>
            </w:pPr>
            <w:r>
              <w:rPr>
                <w:rFonts w:cstheme="minorHAnsi"/>
              </w:rPr>
              <w:t>4c</w:t>
            </w:r>
          </w:p>
        </w:tc>
        <w:tc>
          <w:tcPr>
            <w:tcW w:w="7938" w:type="dxa"/>
            <w:vAlign w:val="center"/>
          </w:tcPr>
          <w:p w14:paraId="70ABD4A9" w14:textId="0304E699" w:rsidR="007625FD" w:rsidRPr="00D367BD" w:rsidRDefault="006717C2" w:rsidP="00EB317C">
            <w:pPr>
              <w:rPr>
                <w:rStyle w:val="normaltextrun"/>
                <w:rFonts w:cstheme="minorHAnsi"/>
                <w:color w:val="000000"/>
              </w:rPr>
            </w:pPr>
            <w:r w:rsidRPr="00D51A8A">
              <w:rPr>
                <w:rStyle w:val="normaltextrun"/>
                <w:rFonts w:cstheme="minorHAnsi"/>
                <w:color w:val="000000"/>
              </w:rPr>
              <w:t xml:space="preserve">Do you concur that the list of Organisation Types adequately coverages the breadth of real-world </w:t>
            </w:r>
            <w:proofErr w:type="spellStart"/>
            <w:r w:rsidRPr="00D51A8A">
              <w:rPr>
                <w:rStyle w:val="normaltextrun"/>
                <w:rFonts w:cstheme="minorHAnsi"/>
                <w:color w:val="000000"/>
              </w:rPr>
              <w:t>organisational</w:t>
            </w:r>
            <w:proofErr w:type="spellEnd"/>
            <w:r w:rsidRPr="00D51A8A">
              <w:rPr>
                <w:rStyle w:val="normaltextrun"/>
                <w:rFonts w:cstheme="minorHAnsi"/>
                <w:color w:val="000000"/>
              </w:rPr>
              <w:t xml:space="preserve"> units, or are other </w:t>
            </w:r>
            <w:proofErr w:type="spellStart"/>
            <w:r w:rsidRPr="00D51A8A">
              <w:rPr>
                <w:rStyle w:val="normaltextrun"/>
                <w:rFonts w:cstheme="minorHAnsi"/>
                <w:color w:val="000000"/>
              </w:rPr>
              <w:t>Organisational</w:t>
            </w:r>
            <w:proofErr w:type="spellEnd"/>
            <w:r w:rsidRPr="00D51A8A">
              <w:rPr>
                <w:rStyle w:val="normaltextrun"/>
                <w:rFonts w:cstheme="minorHAnsi"/>
                <w:color w:val="000000"/>
              </w:rPr>
              <w:t xml:space="preserve"> Types required?</w:t>
            </w:r>
          </w:p>
        </w:tc>
        <w:tc>
          <w:tcPr>
            <w:tcW w:w="4961" w:type="dxa"/>
            <w:vAlign w:val="center"/>
          </w:tcPr>
          <w:p w14:paraId="0B0A5414" w14:textId="77777777" w:rsidR="007625FD" w:rsidRPr="00DB7576" w:rsidRDefault="007625FD" w:rsidP="00EB317C">
            <w:pPr>
              <w:rPr>
                <w:rFonts w:cstheme="minorHAnsi"/>
              </w:rPr>
            </w:pPr>
          </w:p>
        </w:tc>
      </w:tr>
      <w:tr w:rsidR="007625FD" w:rsidRPr="00DB7576" w14:paraId="467B210C" w14:textId="77777777" w:rsidTr="00307739">
        <w:trPr>
          <w:trHeight w:val="1134"/>
        </w:trPr>
        <w:tc>
          <w:tcPr>
            <w:tcW w:w="704" w:type="dxa"/>
            <w:vAlign w:val="center"/>
          </w:tcPr>
          <w:p w14:paraId="3CD8D824" w14:textId="77777777" w:rsidR="007625FD" w:rsidRDefault="007625FD" w:rsidP="00EB317C">
            <w:pPr>
              <w:rPr>
                <w:rFonts w:cstheme="minorHAnsi"/>
              </w:rPr>
            </w:pPr>
            <w:r>
              <w:rPr>
                <w:rFonts w:cstheme="minorHAnsi"/>
              </w:rPr>
              <w:lastRenderedPageBreak/>
              <w:t>4d</w:t>
            </w:r>
          </w:p>
        </w:tc>
        <w:tc>
          <w:tcPr>
            <w:tcW w:w="7938" w:type="dxa"/>
            <w:vAlign w:val="center"/>
          </w:tcPr>
          <w:p w14:paraId="65E8C00E" w14:textId="54C16453" w:rsidR="007625FD" w:rsidRPr="00D367BD" w:rsidRDefault="00655340" w:rsidP="00EB317C">
            <w:pPr>
              <w:rPr>
                <w:rStyle w:val="normaltextrun"/>
                <w:rFonts w:cstheme="minorHAnsi"/>
                <w:color w:val="000000"/>
              </w:rPr>
            </w:pPr>
            <w:r w:rsidRPr="00D51A8A">
              <w:rPr>
                <w:rStyle w:val="normaltextrun"/>
                <w:rFonts w:cstheme="minorHAnsi"/>
                <w:color w:val="000000"/>
              </w:rPr>
              <w:t xml:space="preserve">Do stakeholders agree with the proposed list of </w:t>
            </w:r>
            <w:proofErr w:type="spellStart"/>
            <w:r w:rsidRPr="00D51A8A">
              <w:rPr>
                <w:rStyle w:val="normaltextrun"/>
                <w:rFonts w:cstheme="minorHAnsi"/>
                <w:color w:val="000000"/>
              </w:rPr>
              <w:t>Organisational</w:t>
            </w:r>
            <w:proofErr w:type="spellEnd"/>
            <w:r w:rsidRPr="00D51A8A">
              <w:rPr>
                <w:rStyle w:val="normaltextrun"/>
                <w:rFonts w:cstheme="minorHAnsi"/>
                <w:color w:val="000000"/>
              </w:rPr>
              <w:t xml:space="preserve"> Types where Affiliates are eligible to benefit from the terms of the Agreement?</w:t>
            </w:r>
          </w:p>
        </w:tc>
        <w:tc>
          <w:tcPr>
            <w:tcW w:w="4961" w:type="dxa"/>
            <w:vAlign w:val="center"/>
          </w:tcPr>
          <w:p w14:paraId="2D1CD744" w14:textId="77777777" w:rsidR="007625FD" w:rsidRPr="00DB7576" w:rsidRDefault="007625FD" w:rsidP="00EB317C">
            <w:pPr>
              <w:rPr>
                <w:rFonts w:cstheme="minorHAnsi"/>
              </w:rPr>
            </w:pPr>
          </w:p>
        </w:tc>
      </w:tr>
      <w:tr w:rsidR="00655340" w:rsidRPr="00DB7576" w14:paraId="25D587CD" w14:textId="77777777" w:rsidTr="00307739">
        <w:trPr>
          <w:trHeight w:val="1134"/>
        </w:trPr>
        <w:tc>
          <w:tcPr>
            <w:tcW w:w="704" w:type="dxa"/>
            <w:vAlign w:val="center"/>
          </w:tcPr>
          <w:p w14:paraId="6BA93C34" w14:textId="238A78BC" w:rsidR="00655340" w:rsidRDefault="00655340" w:rsidP="00F610E2">
            <w:pPr>
              <w:rPr>
                <w:rFonts w:cstheme="minorHAnsi"/>
              </w:rPr>
            </w:pPr>
            <w:r>
              <w:rPr>
                <w:rFonts w:cstheme="minorHAnsi"/>
              </w:rPr>
              <w:t>5</w:t>
            </w:r>
          </w:p>
        </w:tc>
        <w:tc>
          <w:tcPr>
            <w:tcW w:w="7938" w:type="dxa"/>
            <w:vAlign w:val="center"/>
          </w:tcPr>
          <w:p w14:paraId="684951DB" w14:textId="6DC4B531" w:rsidR="00655340" w:rsidRPr="003942A4" w:rsidRDefault="00DA70D4" w:rsidP="00446ACC">
            <w:pPr>
              <w:rPr>
                <w:rStyle w:val="normaltextrun"/>
                <w:b/>
                <w:bCs/>
              </w:rPr>
            </w:pPr>
            <w:r w:rsidRPr="00D51A8A">
              <w:rPr>
                <w:b/>
                <w:bCs/>
              </w:rPr>
              <w:t>Pre-payment</w:t>
            </w:r>
          </w:p>
          <w:p w14:paraId="4777FD04" w14:textId="601DDFD6" w:rsidR="00446ACC" w:rsidRDefault="00446ACC" w:rsidP="00446ACC">
            <w:pPr>
              <w:pStyle w:val="paragraph"/>
              <w:spacing w:before="240" w:beforeAutospacing="0" w:after="120" w:afterAutospacing="0" w:line="276" w:lineRule="auto"/>
              <w:jc w:val="both"/>
              <w:textAlignment w:val="baseline"/>
              <w:rPr>
                <w:rStyle w:val="normaltextrun"/>
                <w:rFonts w:asciiTheme="minorHAnsi" w:hAnsiTheme="minorHAnsi" w:cstheme="minorHAnsi"/>
                <w:color w:val="000000"/>
                <w:sz w:val="22"/>
                <w:szCs w:val="22"/>
              </w:rPr>
            </w:pPr>
            <w:r w:rsidRPr="00101040">
              <w:rPr>
                <w:rStyle w:val="normaltextrun"/>
                <w:rFonts w:asciiTheme="minorHAnsi" w:hAnsiTheme="minorHAnsi" w:cstheme="minorHAnsi"/>
                <w:color w:val="000000"/>
                <w:sz w:val="22"/>
                <w:szCs w:val="22"/>
              </w:rPr>
              <w:t xml:space="preserve">Within the </w:t>
            </w:r>
            <w:r>
              <w:rPr>
                <w:rStyle w:val="normaltextrun"/>
                <w:rFonts w:asciiTheme="minorHAnsi" w:hAnsiTheme="minorHAnsi" w:cstheme="minorHAnsi"/>
                <w:color w:val="000000"/>
                <w:sz w:val="22"/>
                <w:szCs w:val="22"/>
              </w:rPr>
              <w:t xml:space="preserve">existing </w:t>
            </w:r>
            <w:r w:rsidRPr="00101040">
              <w:rPr>
                <w:rStyle w:val="normaltextrun"/>
                <w:rFonts w:asciiTheme="minorHAnsi" w:hAnsiTheme="minorHAnsi" w:cstheme="minorHAnsi"/>
                <w:color w:val="000000"/>
                <w:sz w:val="22"/>
                <w:szCs w:val="22"/>
              </w:rPr>
              <w:t xml:space="preserve">payment in advance principle, the DSB also intends to introduce online pre-payment for the </w:t>
            </w:r>
            <w:r w:rsidR="00F07F21">
              <w:rPr>
                <w:rStyle w:val="normaltextrun"/>
                <w:rFonts w:asciiTheme="minorHAnsi" w:hAnsiTheme="minorHAnsi" w:cstheme="minorHAnsi"/>
                <w:color w:val="000000"/>
                <w:sz w:val="22"/>
                <w:szCs w:val="22"/>
              </w:rPr>
              <w:t>UPI Service</w:t>
            </w:r>
            <w:r>
              <w:rPr>
                <w:rStyle w:val="normaltextrun"/>
                <w:rFonts w:asciiTheme="minorHAnsi" w:hAnsiTheme="minorHAnsi" w:cstheme="minorHAnsi"/>
                <w:color w:val="000000"/>
                <w:sz w:val="22"/>
                <w:szCs w:val="22"/>
              </w:rPr>
              <w:t xml:space="preserve"> for certain UPI User Types (based on </w:t>
            </w:r>
            <w:r w:rsidRPr="00101040">
              <w:rPr>
                <w:rStyle w:val="normaltextrun"/>
                <w:rFonts w:asciiTheme="minorHAnsi" w:hAnsiTheme="minorHAnsi" w:cstheme="minorHAnsi"/>
                <w:color w:val="000000"/>
                <w:sz w:val="22"/>
                <w:szCs w:val="22"/>
              </w:rPr>
              <w:t>the associated fee levels</w:t>
            </w:r>
            <w:r>
              <w:rPr>
                <w:rStyle w:val="normaltextrun"/>
                <w:rFonts w:asciiTheme="minorHAnsi" w:hAnsiTheme="minorHAnsi" w:cstheme="minorHAnsi"/>
                <w:color w:val="000000"/>
                <w:sz w:val="22"/>
                <w:szCs w:val="22"/>
              </w:rPr>
              <w:t xml:space="preserve">). </w:t>
            </w:r>
          </w:p>
          <w:p w14:paraId="61326FFF" w14:textId="77777777" w:rsidR="00446ACC" w:rsidRDefault="00446ACC" w:rsidP="00446ACC">
            <w:pPr>
              <w:pStyle w:val="paragraph"/>
              <w:spacing w:before="240" w:after="120" w:line="276" w:lineRule="auto"/>
              <w:jc w:val="both"/>
              <w:textAlignment w:val="baseline"/>
              <w:rPr>
                <w:rStyle w:val="normaltextrun"/>
                <w:rFonts w:asciiTheme="minorHAnsi" w:hAnsiTheme="minorHAnsi" w:cstheme="minorHAnsi"/>
                <w:color w:val="000000"/>
                <w:sz w:val="22"/>
                <w:szCs w:val="22"/>
              </w:rPr>
            </w:pPr>
            <w:r w:rsidRPr="00101040">
              <w:rPr>
                <w:rStyle w:val="normaltextrun"/>
                <w:rFonts w:asciiTheme="minorHAnsi" w:hAnsiTheme="minorHAnsi" w:cstheme="minorHAnsi"/>
                <w:color w:val="000000"/>
                <w:sz w:val="22"/>
                <w:szCs w:val="22"/>
              </w:rPr>
              <w:t xml:space="preserve">The key driver for </w:t>
            </w:r>
            <w:r>
              <w:rPr>
                <w:rStyle w:val="normaltextrun"/>
                <w:rFonts w:asciiTheme="minorHAnsi" w:hAnsiTheme="minorHAnsi" w:cstheme="minorHAnsi"/>
                <w:color w:val="000000"/>
                <w:sz w:val="22"/>
                <w:szCs w:val="22"/>
              </w:rPr>
              <w:t>introducing</w:t>
            </w:r>
            <w:r w:rsidRPr="00101040">
              <w:rPr>
                <w:rStyle w:val="normaltextrun"/>
                <w:rFonts w:asciiTheme="minorHAnsi" w:hAnsiTheme="minorHAnsi" w:cstheme="minorHAnsi"/>
                <w:color w:val="000000"/>
                <w:sz w:val="22"/>
                <w:szCs w:val="22"/>
              </w:rPr>
              <w:t xml:space="preserve"> pre-payment is to reduce operational cost and inefficiency in the </w:t>
            </w:r>
            <w:r>
              <w:rPr>
                <w:rStyle w:val="normaltextrun"/>
                <w:rFonts w:asciiTheme="minorHAnsi" w:hAnsiTheme="minorHAnsi" w:cstheme="minorHAnsi"/>
                <w:color w:val="000000"/>
                <w:sz w:val="22"/>
                <w:szCs w:val="22"/>
              </w:rPr>
              <w:t>payment handling process related to</w:t>
            </w:r>
            <w:r w:rsidRPr="00101040">
              <w:rPr>
                <w:rStyle w:val="normaltextrun"/>
                <w:rFonts w:asciiTheme="minorHAnsi" w:hAnsiTheme="minorHAnsi" w:cstheme="minorHAnsi"/>
                <w:color w:val="000000"/>
                <w:sz w:val="22"/>
                <w:szCs w:val="22"/>
              </w:rPr>
              <w:t xml:space="preserve"> overdue invoices, particularly for outstanding fees of low monetary value.</w:t>
            </w:r>
            <w:r>
              <w:rPr>
                <w:rStyle w:val="normaltextrun"/>
                <w:rFonts w:asciiTheme="minorHAnsi" w:hAnsiTheme="minorHAnsi" w:cstheme="minorHAnsi"/>
                <w:color w:val="000000"/>
                <w:sz w:val="22"/>
                <w:szCs w:val="22"/>
              </w:rPr>
              <w:t xml:space="preserve"> </w:t>
            </w:r>
            <w:r w:rsidRPr="00101040">
              <w:rPr>
                <w:rStyle w:val="normaltextrun"/>
                <w:rFonts w:asciiTheme="minorHAnsi" w:hAnsiTheme="minorHAnsi" w:cstheme="minorHAnsi"/>
                <w:color w:val="000000"/>
                <w:sz w:val="22"/>
                <w:szCs w:val="22"/>
              </w:rPr>
              <w:t>Pre-payment will only be possible by debit or credit card.</w:t>
            </w:r>
          </w:p>
          <w:p w14:paraId="5677888E" w14:textId="69C3FC0B" w:rsidR="00446ACC" w:rsidRPr="004D2B55" w:rsidRDefault="00446ACC" w:rsidP="00446ACC">
            <w:pPr>
              <w:rPr>
                <w:rStyle w:val="normaltextrun"/>
                <w:rFonts w:cstheme="minorHAnsi"/>
                <w:color w:val="000000"/>
              </w:rPr>
            </w:pPr>
            <w:r w:rsidRPr="00754C0C">
              <w:rPr>
                <w:lang w:val="en-GB"/>
              </w:rPr>
              <w:t xml:space="preserve">A roadmap to transition to the same approach for OTC ISIN </w:t>
            </w:r>
            <w:r>
              <w:rPr>
                <w:lang w:val="en-GB"/>
              </w:rPr>
              <w:t>u</w:t>
            </w:r>
            <w:r w:rsidRPr="00754C0C">
              <w:rPr>
                <w:lang w:val="en-GB"/>
              </w:rPr>
              <w:t xml:space="preserve">sers </w:t>
            </w:r>
            <w:r w:rsidRPr="00E268BA">
              <w:rPr>
                <w:lang w:val="en-GB"/>
              </w:rPr>
              <w:t xml:space="preserve">will be subject to further analysis and </w:t>
            </w:r>
            <w:r>
              <w:rPr>
                <w:lang w:val="en-GB"/>
              </w:rPr>
              <w:t>stakeholder engagement</w:t>
            </w:r>
            <w:r w:rsidRPr="00E268BA">
              <w:rPr>
                <w:lang w:val="en-GB"/>
              </w:rPr>
              <w:t>.</w:t>
            </w:r>
          </w:p>
        </w:tc>
        <w:tc>
          <w:tcPr>
            <w:tcW w:w="4961" w:type="dxa"/>
            <w:vAlign w:val="center"/>
          </w:tcPr>
          <w:p w14:paraId="42BE9E8E" w14:textId="77777777" w:rsidR="00655340" w:rsidRPr="00DB7576" w:rsidRDefault="00655340" w:rsidP="00F610E2">
            <w:pPr>
              <w:rPr>
                <w:rFonts w:cstheme="minorHAnsi"/>
              </w:rPr>
            </w:pPr>
          </w:p>
        </w:tc>
      </w:tr>
      <w:tr w:rsidR="007625FD" w:rsidRPr="00DB7576" w14:paraId="282947FC" w14:textId="77777777" w:rsidTr="00307739">
        <w:trPr>
          <w:trHeight w:val="1134"/>
        </w:trPr>
        <w:tc>
          <w:tcPr>
            <w:tcW w:w="704" w:type="dxa"/>
            <w:vAlign w:val="center"/>
          </w:tcPr>
          <w:p w14:paraId="7CAF9EED" w14:textId="77777777" w:rsidR="007625FD" w:rsidRDefault="007625FD" w:rsidP="00EB317C">
            <w:pPr>
              <w:rPr>
                <w:rFonts w:cstheme="minorHAnsi"/>
              </w:rPr>
            </w:pPr>
            <w:r>
              <w:rPr>
                <w:rFonts w:cstheme="minorHAnsi"/>
              </w:rPr>
              <w:t>5a</w:t>
            </w:r>
          </w:p>
        </w:tc>
        <w:tc>
          <w:tcPr>
            <w:tcW w:w="7938" w:type="dxa"/>
            <w:vAlign w:val="center"/>
          </w:tcPr>
          <w:p w14:paraId="7870D491" w14:textId="34084480" w:rsidR="007625FD" w:rsidRPr="00D367BD" w:rsidRDefault="00FE7F4A" w:rsidP="00EB317C">
            <w:pPr>
              <w:rPr>
                <w:rStyle w:val="normaltextrun"/>
                <w:rFonts w:cstheme="minorHAnsi"/>
                <w:color w:val="000000"/>
              </w:rPr>
            </w:pPr>
            <w:r w:rsidRPr="00D51A8A">
              <w:rPr>
                <w:rStyle w:val="normaltextrun"/>
                <w:rFonts w:cstheme="minorHAnsi"/>
                <w:color w:val="000000"/>
              </w:rPr>
              <w:t>Do you agree that it is reasonable for pre-payment by debit or credit card for certain User types to be mandated during the Onboarding process, to allow the DSB to achieve increased operational efficiency and reduce costs of payment handling?</w:t>
            </w:r>
          </w:p>
        </w:tc>
        <w:tc>
          <w:tcPr>
            <w:tcW w:w="4961" w:type="dxa"/>
            <w:vAlign w:val="center"/>
          </w:tcPr>
          <w:p w14:paraId="1B97C33A" w14:textId="77777777" w:rsidR="007625FD" w:rsidRPr="00DB7576" w:rsidRDefault="007625FD" w:rsidP="00EB317C">
            <w:pPr>
              <w:rPr>
                <w:rFonts w:cstheme="minorHAnsi"/>
              </w:rPr>
            </w:pPr>
          </w:p>
        </w:tc>
      </w:tr>
      <w:tr w:rsidR="007625FD" w:rsidRPr="00DB7576" w14:paraId="24BEE766" w14:textId="77777777" w:rsidTr="00307739">
        <w:trPr>
          <w:trHeight w:val="1134"/>
        </w:trPr>
        <w:tc>
          <w:tcPr>
            <w:tcW w:w="704" w:type="dxa"/>
            <w:vAlign w:val="center"/>
          </w:tcPr>
          <w:p w14:paraId="52BB6610" w14:textId="77777777" w:rsidR="007625FD" w:rsidRDefault="007625FD" w:rsidP="00EB317C">
            <w:pPr>
              <w:rPr>
                <w:rFonts w:cstheme="minorHAnsi"/>
              </w:rPr>
            </w:pPr>
            <w:r>
              <w:rPr>
                <w:rFonts w:cstheme="minorHAnsi"/>
              </w:rPr>
              <w:t>5b</w:t>
            </w:r>
          </w:p>
        </w:tc>
        <w:tc>
          <w:tcPr>
            <w:tcW w:w="7938" w:type="dxa"/>
            <w:vAlign w:val="center"/>
          </w:tcPr>
          <w:p w14:paraId="7A4753A4" w14:textId="64093088" w:rsidR="007625FD" w:rsidRPr="00D367BD" w:rsidRDefault="005B5136" w:rsidP="00EB317C">
            <w:pPr>
              <w:rPr>
                <w:rStyle w:val="normaltextrun"/>
                <w:rFonts w:cstheme="minorHAnsi"/>
                <w:color w:val="000000"/>
              </w:rPr>
            </w:pPr>
            <w:r w:rsidRPr="00D51A8A">
              <w:rPr>
                <w:rStyle w:val="normaltextrun"/>
                <w:rFonts w:cstheme="minorHAnsi"/>
                <w:color w:val="000000"/>
              </w:rPr>
              <w:t>If not, please articulate your concerns with clear rationale, and a specific alternate approach.</w:t>
            </w:r>
          </w:p>
        </w:tc>
        <w:tc>
          <w:tcPr>
            <w:tcW w:w="4961" w:type="dxa"/>
            <w:vAlign w:val="center"/>
          </w:tcPr>
          <w:p w14:paraId="1D60C6FF" w14:textId="77777777" w:rsidR="007625FD" w:rsidRPr="00DB7576" w:rsidRDefault="007625FD" w:rsidP="00EB317C">
            <w:pPr>
              <w:rPr>
                <w:rFonts w:cstheme="minorHAnsi"/>
              </w:rPr>
            </w:pPr>
          </w:p>
        </w:tc>
      </w:tr>
      <w:tr w:rsidR="005B5136" w:rsidRPr="00DB7576" w14:paraId="5A6AE943" w14:textId="77777777" w:rsidTr="00307739">
        <w:trPr>
          <w:trHeight w:val="1134"/>
        </w:trPr>
        <w:tc>
          <w:tcPr>
            <w:tcW w:w="704" w:type="dxa"/>
            <w:vAlign w:val="center"/>
          </w:tcPr>
          <w:p w14:paraId="4BB09F93" w14:textId="4207982F" w:rsidR="005B5136" w:rsidRDefault="005B5136" w:rsidP="00F610E2">
            <w:pPr>
              <w:rPr>
                <w:rFonts w:cstheme="minorHAnsi"/>
              </w:rPr>
            </w:pPr>
            <w:r>
              <w:rPr>
                <w:rFonts w:cstheme="minorHAnsi"/>
              </w:rPr>
              <w:t>6</w:t>
            </w:r>
          </w:p>
        </w:tc>
        <w:tc>
          <w:tcPr>
            <w:tcW w:w="7938" w:type="dxa"/>
            <w:vAlign w:val="center"/>
          </w:tcPr>
          <w:p w14:paraId="346F94D7" w14:textId="77777777" w:rsidR="00EF5B08" w:rsidRPr="00D51A8A" w:rsidRDefault="00EF5B08" w:rsidP="00EF5B08">
            <w:pPr>
              <w:rPr>
                <w:b/>
                <w:bCs/>
              </w:rPr>
            </w:pPr>
            <w:r w:rsidRPr="00D51A8A">
              <w:rPr>
                <w:b/>
                <w:bCs/>
              </w:rPr>
              <w:t>Service Activation</w:t>
            </w:r>
          </w:p>
          <w:p w14:paraId="4CF36082" w14:textId="77777777" w:rsidR="00EF5B08" w:rsidRPr="004D2B55" w:rsidRDefault="00EF5B08" w:rsidP="00EF5B08">
            <w:pPr>
              <w:rPr>
                <w:lang w:val="en-GB"/>
              </w:rPr>
            </w:pPr>
          </w:p>
          <w:p w14:paraId="2040B5C1" w14:textId="0BB85871" w:rsidR="00EF5B08" w:rsidRPr="004D2B55" w:rsidRDefault="00EF5B08" w:rsidP="00EF5B08">
            <w:pPr>
              <w:rPr>
                <w:lang w:val="en-GB"/>
              </w:rPr>
            </w:pPr>
            <w:r w:rsidRPr="004D2B55">
              <w:rPr>
                <w:lang w:val="en-GB"/>
              </w:rPr>
              <w:t xml:space="preserve">UPI clients required to pre-pay will not be activated on the </w:t>
            </w:r>
            <w:r w:rsidR="00F07F21">
              <w:rPr>
                <w:lang w:val="en-GB"/>
              </w:rPr>
              <w:t>UPI Service</w:t>
            </w:r>
            <w:r w:rsidRPr="004D2B55">
              <w:rPr>
                <w:lang w:val="en-GB"/>
              </w:rPr>
              <w:t xml:space="preserve"> in Production until the relevant Subscription Form is signed and pre-payment is received via the</w:t>
            </w:r>
            <w:r w:rsidRPr="004D2B55">
              <w:t>, and any other technical prerequisites are completed</w:t>
            </w:r>
            <w:r w:rsidRPr="004D2B55">
              <w:rPr>
                <w:lang w:val="en-GB"/>
              </w:rPr>
              <w:t xml:space="preserve">. </w:t>
            </w:r>
          </w:p>
          <w:p w14:paraId="76B55AA1" w14:textId="77777777" w:rsidR="00EF5B08" w:rsidRPr="004D2B55" w:rsidRDefault="00EF5B08" w:rsidP="00EF5B08">
            <w:pPr>
              <w:rPr>
                <w:lang w:val="en-GB"/>
              </w:rPr>
            </w:pPr>
          </w:p>
          <w:p w14:paraId="6D89823B" w14:textId="47BE9DB7" w:rsidR="00EF5B08" w:rsidRPr="004D2B55" w:rsidRDefault="00EF5B08" w:rsidP="00EF5B08">
            <w:pPr>
              <w:rPr>
                <w:lang w:val="en-GB"/>
              </w:rPr>
            </w:pPr>
            <w:r w:rsidRPr="004D2B55">
              <w:rPr>
                <w:lang w:val="en-GB"/>
              </w:rPr>
              <w:lastRenderedPageBreak/>
              <w:t>Clients who will be invoiced with 30-day payment terms will not be activated on the UPI Service in Production until the relevant Subscription Form is signed, and billing details have been provided via the COSP. The invoice will be issued 14 days after signature of the agreement, with payment required 30 days thereafter.</w:t>
            </w:r>
          </w:p>
          <w:p w14:paraId="2F50F4B8" w14:textId="77777777" w:rsidR="00EF5B08" w:rsidRPr="004D2B55" w:rsidRDefault="00EF5B08" w:rsidP="00EF5B08">
            <w:pPr>
              <w:rPr>
                <w:lang w:val="en-GB"/>
              </w:rPr>
            </w:pPr>
          </w:p>
          <w:p w14:paraId="4F55F876" w14:textId="7FB3C9C8" w:rsidR="00EF5B08" w:rsidRPr="004D2B55" w:rsidRDefault="00EF5B08" w:rsidP="00EF5B08">
            <w:pPr>
              <w:rPr>
                <w:rStyle w:val="normaltextrun"/>
                <w:lang w:val="en-GB"/>
              </w:rPr>
            </w:pPr>
            <w:r w:rsidRPr="004D2B55">
              <w:rPr>
                <w:lang w:val="en-GB"/>
              </w:rPr>
              <w:t xml:space="preserve">There is no impact on the current approach to payment and activation for OTC ISIN clients </w:t>
            </w:r>
            <w:proofErr w:type="gramStart"/>
            <w:r w:rsidRPr="004D2B55">
              <w:rPr>
                <w:lang w:val="en-GB"/>
              </w:rPr>
              <w:t>at this time</w:t>
            </w:r>
            <w:proofErr w:type="gramEnd"/>
            <w:r w:rsidRPr="004D2B55">
              <w:rPr>
                <w:lang w:val="en-GB"/>
              </w:rPr>
              <w:t>.</w:t>
            </w:r>
          </w:p>
          <w:p w14:paraId="51E6AF68" w14:textId="77777777" w:rsidR="005B5136" w:rsidRPr="004D2B55" w:rsidRDefault="005B5136" w:rsidP="00F610E2">
            <w:pPr>
              <w:rPr>
                <w:rStyle w:val="normaltextrun"/>
                <w:rFonts w:cstheme="minorHAnsi"/>
                <w:color w:val="000000"/>
              </w:rPr>
            </w:pPr>
          </w:p>
        </w:tc>
        <w:tc>
          <w:tcPr>
            <w:tcW w:w="4961" w:type="dxa"/>
            <w:vAlign w:val="center"/>
          </w:tcPr>
          <w:p w14:paraId="19E3FCEE" w14:textId="77777777" w:rsidR="005B5136" w:rsidRPr="00DB7576" w:rsidRDefault="005B5136" w:rsidP="00F610E2">
            <w:pPr>
              <w:rPr>
                <w:rFonts w:cstheme="minorHAnsi"/>
              </w:rPr>
            </w:pPr>
          </w:p>
        </w:tc>
      </w:tr>
      <w:tr w:rsidR="007625FD" w:rsidRPr="00DB7576" w14:paraId="7B6208A5" w14:textId="77777777" w:rsidTr="00307739">
        <w:trPr>
          <w:trHeight w:val="1134"/>
        </w:trPr>
        <w:tc>
          <w:tcPr>
            <w:tcW w:w="704" w:type="dxa"/>
            <w:vAlign w:val="center"/>
          </w:tcPr>
          <w:p w14:paraId="4AC007D3" w14:textId="77777777" w:rsidR="007625FD" w:rsidRDefault="007625FD" w:rsidP="00EB317C">
            <w:pPr>
              <w:rPr>
                <w:rFonts w:cstheme="minorHAnsi"/>
              </w:rPr>
            </w:pPr>
            <w:r>
              <w:rPr>
                <w:rFonts w:cstheme="minorHAnsi"/>
              </w:rPr>
              <w:t>6a</w:t>
            </w:r>
          </w:p>
        </w:tc>
        <w:tc>
          <w:tcPr>
            <w:tcW w:w="7938" w:type="dxa"/>
            <w:vAlign w:val="center"/>
          </w:tcPr>
          <w:p w14:paraId="43F90657" w14:textId="6A1DF890" w:rsidR="007625FD" w:rsidRPr="00D367BD" w:rsidRDefault="00C813E7" w:rsidP="00EB317C">
            <w:pPr>
              <w:rPr>
                <w:rStyle w:val="normaltextrun"/>
                <w:rFonts w:cstheme="minorHAnsi"/>
                <w:color w:val="000000"/>
              </w:rPr>
            </w:pPr>
            <w:r w:rsidRPr="00D51A8A">
              <w:rPr>
                <w:rStyle w:val="normaltextrun"/>
                <w:rFonts w:cstheme="minorHAnsi"/>
                <w:color w:val="000000"/>
              </w:rPr>
              <w:t xml:space="preserve">Do you agree with the activation pre-requisites laid out in this section, relating to clients paying via pre-payment and via </w:t>
            </w:r>
            <w:r w:rsidR="001F151F" w:rsidRPr="00D51A8A">
              <w:rPr>
                <w:rStyle w:val="normaltextrun"/>
                <w:rFonts w:cstheme="minorHAnsi"/>
                <w:color w:val="000000"/>
              </w:rPr>
              <w:t>30-day</w:t>
            </w:r>
            <w:r w:rsidRPr="00D51A8A">
              <w:rPr>
                <w:rStyle w:val="normaltextrun"/>
                <w:rFonts w:cstheme="minorHAnsi"/>
                <w:color w:val="000000"/>
              </w:rPr>
              <w:t xml:space="preserve"> payment terms?</w:t>
            </w:r>
          </w:p>
        </w:tc>
        <w:tc>
          <w:tcPr>
            <w:tcW w:w="4961" w:type="dxa"/>
            <w:vAlign w:val="center"/>
          </w:tcPr>
          <w:p w14:paraId="43750588" w14:textId="77777777" w:rsidR="007625FD" w:rsidRPr="00DB7576" w:rsidRDefault="007625FD" w:rsidP="00EB317C">
            <w:pPr>
              <w:rPr>
                <w:rFonts w:cstheme="minorHAnsi"/>
              </w:rPr>
            </w:pPr>
          </w:p>
        </w:tc>
      </w:tr>
      <w:tr w:rsidR="007625FD" w:rsidRPr="00DB7576" w14:paraId="4BA40E1E" w14:textId="77777777" w:rsidTr="00307739">
        <w:trPr>
          <w:trHeight w:val="1134"/>
        </w:trPr>
        <w:tc>
          <w:tcPr>
            <w:tcW w:w="704" w:type="dxa"/>
            <w:vAlign w:val="center"/>
          </w:tcPr>
          <w:p w14:paraId="7AF2A4C3" w14:textId="77777777" w:rsidR="007625FD" w:rsidRDefault="007625FD" w:rsidP="00EB317C">
            <w:pPr>
              <w:rPr>
                <w:rFonts w:cstheme="minorHAnsi"/>
              </w:rPr>
            </w:pPr>
            <w:r>
              <w:rPr>
                <w:rFonts w:cstheme="minorHAnsi"/>
              </w:rPr>
              <w:t>6b</w:t>
            </w:r>
          </w:p>
        </w:tc>
        <w:tc>
          <w:tcPr>
            <w:tcW w:w="7938" w:type="dxa"/>
            <w:vAlign w:val="center"/>
          </w:tcPr>
          <w:p w14:paraId="464C66EA" w14:textId="40FDEFED" w:rsidR="007625FD" w:rsidRPr="00D367BD" w:rsidRDefault="007625FD" w:rsidP="00EB317C">
            <w:pPr>
              <w:rPr>
                <w:rStyle w:val="normaltextrun"/>
                <w:rFonts w:cstheme="minorHAnsi"/>
                <w:color w:val="000000"/>
              </w:rPr>
            </w:pPr>
            <w:r w:rsidRPr="00F610E2">
              <w:rPr>
                <w:rStyle w:val="normaltextrun"/>
                <w:rFonts w:cstheme="minorHAnsi"/>
                <w:color w:val="000000"/>
              </w:rPr>
              <w:t xml:space="preserve">If not, what specific alternate approach do you recommend? </w:t>
            </w:r>
            <w:r w:rsidR="008C08A2" w:rsidRPr="00D51A8A">
              <w:rPr>
                <w:rStyle w:val="normaltextrun"/>
                <w:rFonts w:cstheme="minorHAnsi"/>
                <w:color w:val="000000"/>
              </w:rPr>
              <w:t>Please provide a clear and objective rationale for each alternate approach you recommend.</w:t>
            </w:r>
          </w:p>
        </w:tc>
        <w:tc>
          <w:tcPr>
            <w:tcW w:w="4961" w:type="dxa"/>
            <w:vAlign w:val="center"/>
          </w:tcPr>
          <w:p w14:paraId="7C14F911" w14:textId="77777777" w:rsidR="007625FD" w:rsidRPr="00DB7576" w:rsidRDefault="007625FD" w:rsidP="00EB317C">
            <w:pPr>
              <w:rPr>
                <w:rFonts w:cstheme="minorHAnsi"/>
              </w:rPr>
            </w:pPr>
          </w:p>
        </w:tc>
      </w:tr>
      <w:tr w:rsidR="008C08A2" w:rsidRPr="00DB7576" w14:paraId="20AC47D5" w14:textId="77777777" w:rsidTr="00307739">
        <w:trPr>
          <w:trHeight w:val="1134"/>
        </w:trPr>
        <w:tc>
          <w:tcPr>
            <w:tcW w:w="704" w:type="dxa"/>
            <w:vAlign w:val="center"/>
          </w:tcPr>
          <w:p w14:paraId="320FA4D6" w14:textId="3508A216" w:rsidR="008C08A2" w:rsidRDefault="008C08A2" w:rsidP="00F610E2">
            <w:pPr>
              <w:rPr>
                <w:rFonts w:cstheme="minorHAnsi"/>
              </w:rPr>
            </w:pPr>
            <w:r>
              <w:rPr>
                <w:rFonts w:cstheme="minorHAnsi"/>
              </w:rPr>
              <w:t>7</w:t>
            </w:r>
          </w:p>
        </w:tc>
        <w:tc>
          <w:tcPr>
            <w:tcW w:w="7938" w:type="dxa"/>
            <w:vAlign w:val="center"/>
          </w:tcPr>
          <w:p w14:paraId="0D078B3B" w14:textId="77777777" w:rsidR="00004246" w:rsidRPr="00D51A8A" w:rsidRDefault="00004246" w:rsidP="00004246">
            <w:pPr>
              <w:rPr>
                <w:b/>
                <w:bCs/>
              </w:rPr>
            </w:pPr>
            <w:r w:rsidRPr="00D51A8A">
              <w:rPr>
                <w:b/>
                <w:bCs/>
              </w:rPr>
              <w:t>Termination, Suspension and Renewals</w:t>
            </w:r>
          </w:p>
          <w:p w14:paraId="273AB39C" w14:textId="77777777" w:rsidR="00004246" w:rsidRPr="004D2B55" w:rsidRDefault="00004246" w:rsidP="00004246">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sidRPr="004D2B55">
              <w:rPr>
                <w:rStyle w:val="normaltextrun"/>
                <w:rFonts w:ascii="Calibri" w:hAnsi="Calibri" w:cs="Calibri"/>
                <w:color w:val="000000"/>
                <w:sz w:val="22"/>
                <w:szCs w:val="22"/>
              </w:rPr>
              <w:t xml:space="preserve">The existing legal terms underpinning Termination, Suspension and Renewals will persist for the UPI Service.  These processes for the UPI Service will be managed by default on the COSP. </w:t>
            </w:r>
          </w:p>
          <w:p w14:paraId="1209323B" w14:textId="77777777" w:rsidR="00004246" w:rsidRPr="004D2B55" w:rsidRDefault="00004246" w:rsidP="00004246">
            <w:pPr>
              <w:pStyle w:val="paragraph"/>
              <w:spacing w:before="240" w:beforeAutospacing="0" w:after="120" w:afterAutospacing="0" w:line="276" w:lineRule="auto"/>
              <w:textAlignment w:val="baseline"/>
              <w:rPr>
                <w:rStyle w:val="normaltextrun"/>
                <w:rFonts w:asciiTheme="minorHAnsi" w:hAnsiTheme="minorHAnsi" w:cstheme="minorHAnsi"/>
                <w:color w:val="000000"/>
                <w:sz w:val="22"/>
                <w:szCs w:val="22"/>
              </w:rPr>
            </w:pPr>
            <w:r w:rsidRPr="004D2B55">
              <w:rPr>
                <w:rStyle w:val="normaltextrun"/>
                <w:rFonts w:asciiTheme="minorHAnsi" w:hAnsiTheme="minorHAnsi" w:cstheme="minorHAnsi"/>
                <w:color w:val="000000"/>
                <w:sz w:val="22"/>
                <w:szCs w:val="22"/>
              </w:rPr>
              <w:t>In line with the existing OTC ISIN Service, UPI contracts will auto-renew on an annual basis. Clients will continue to be given a 90-day notice period in which they are able to terminate their contract before auto-renewal.</w:t>
            </w:r>
          </w:p>
          <w:p w14:paraId="05D8AAA6" w14:textId="50C571C8" w:rsidR="00004246" w:rsidRPr="004D2B55" w:rsidRDefault="00004246" w:rsidP="00004246">
            <w:pPr>
              <w:pStyle w:val="paragraph"/>
              <w:spacing w:before="240" w:beforeAutospacing="0" w:after="120" w:afterAutospacing="0" w:line="276" w:lineRule="auto"/>
              <w:textAlignment w:val="baseline"/>
              <w:rPr>
                <w:rStyle w:val="normaltextrun"/>
                <w:rFonts w:asciiTheme="minorHAnsi" w:hAnsiTheme="minorHAnsi" w:cstheme="minorHAnsi"/>
                <w:color w:val="000000"/>
                <w:sz w:val="22"/>
                <w:szCs w:val="22"/>
              </w:rPr>
            </w:pPr>
            <w:r w:rsidRPr="004D2B55">
              <w:rPr>
                <w:rStyle w:val="normaltextrun"/>
                <w:rFonts w:asciiTheme="minorHAnsi" w:hAnsiTheme="minorHAnsi" w:cstheme="minorHAnsi"/>
                <w:color w:val="000000"/>
                <w:sz w:val="22"/>
                <w:szCs w:val="22"/>
              </w:rPr>
              <w:t xml:space="preserve">For certain User Type(s) and fee levels, as for initial UPI onboarding, the DSB intends to require online pre-payment by debit or credit card at the point of renewal to the </w:t>
            </w:r>
            <w:r w:rsidR="00F07F21">
              <w:rPr>
                <w:rStyle w:val="normaltextrun"/>
                <w:rFonts w:asciiTheme="minorHAnsi" w:hAnsiTheme="minorHAnsi" w:cstheme="minorHAnsi"/>
                <w:color w:val="000000"/>
                <w:sz w:val="22"/>
                <w:szCs w:val="22"/>
              </w:rPr>
              <w:t>UPI Service</w:t>
            </w:r>
            <w:r w:rsidRPr="004D2B55">
              <w:rPr>
                <w:rStyle w:val="normaltextrun"/>
                <w:rFonts w:asciiTheme="minorHAnsi" w:hAnsiTheme="minorHAnsi" w:cstheme="minorHAnsi"/>
                <w:color w:val="000000"/>
                <w:sz w:val="22"/>
                <w:szCs w:val="22"/>
              </w:rPr>
              <w:t>.</w:t>
            </w:r>
          </w:p>
          <w:p w14:paraId="64175208" w14:textId="77777777" w:rsidR="00004246" w:rsidRPr="004D2B55" w:rsidRDefault="00004246" w:rsidP="00004246">
            <w:pPr>
              <w:rPr>
                <w:rStyle w:val="normaltextrun"/>
              </w:rPr>
            </w:pPr>
            <w:r w:rsidRPr="004D2B55">
              <w:rPr>
                <w:lang w:val="en-GB"/>
              </w:rPr>
              <w:t>There will no change to the existing approach to Terminations, Suspension and Renewals for OTC ISIN clients at the time of the launch of the UPI Service.</w:t>
            </w:r>
          </w:p>
          <w:p w14:paraId="1D337E3C" w14:textId="77777777" w:rsidR="008C08A2" w:rsidRPr="004D2B55" w:rsidRDefault="008C08A2" w:rsidP="00F610E2">
            <w:pPr>
              <w:rPr>
                <w:rStyle w:val="normaltextrun"/>
                <w:rFonts w:cstheme="minorHAnsi"/>
                <w:color w:val="000000"/>
              </w:rPr>
            </w:pPr>
          </w:p>
        </w:tc>
        <w:tc>
          <w:tcPr>
            <w:tcW w:w="4961" w:type="dxa"/>
            <w:vAlign w:val="center"/>
          </w:tcPr>
          <w:p w14:paraId="5B7E8B21" w14:textId="77777777" w:rsidR="008C08A2" w:rsidRPr="00DB7576" w:rsidRDefault="008C08A2" w:rsidP="00F610E2">
            <w:pPr>
              <w:rPr>
                <w:rFonts w:cstheme="minorHAnsi"/>
              </w:rPr>
            </w:pPr>
          </w:p>
        </w:tc>
      </w:tr>
      <w:tr w:rsidR="007625FD" w:rsidRPr="00DB7576" w14:paraId="3C82CAE6" w14:textId="77777777" w:rsidTr="00307739">
        <w:trPr>
          <w:trHeight w:val="1134"/>
        </w:trPr>
        <w:tc>
          <w:tcPr>
            <w:tcW w:w="704" w:type="dxa"/>
            <w:vAlign w:val="center"/>
          </w:tcPr>
          <w:p w14:paraId="6FBE61FF" w14:textId="77777777" w:rsidR="007625FD" w:rsidRDefault="007625FD" w:rsidP="00EB317C">
            <w:pPr>
              <w:rPr>
                <w:rFonts w:cstheme="minorHAnsi"/>
              </w:rPr>
            </w:pPr>
            <w:r>
              <w:rPr>
                <w:rFonts w:cstheme="minorHAnsi"/>
              </w:rPr>
              <w:t>7a</w:t>
            </w:r>
          </w:p>
        </w:tc>
        <w:tc>
          <w:tcPr>
            <w:tcW w:w="7938" w:type="dxa"/>
            <w:vAlign w:val="center"/>
          </w:tcPr>
          <w:p w14:paraId="75C27050" w14:textId="397DE82F" w:rsidR="007625FD" w:rsidRPr="00D367BD" w:rsidRDefault="00512496" w:rsidP="00EB317C">
            <w:pPr>
              <w:rPr>
                <w:rStyle w:val="normaltextrun"/>
                <w:rFonts w:cstheme="minorHAnsi"/>
                <w:color w:val="000000"/>
              </w:rPr>
            </w:pPr>
            <w:r w:rsidRPr="00D51A8A">
              <w:rPr>
                <w:rStyle w:val="normaltextrun"/>
                <w:rFonts w:cstheme="minorHAnsi"/>
                <w:color w:val="000000"/>
              </w:rPr>
              <w:t>Do you agree that it is reasonable for pre-payment by debit or credit card for certain User types to be mandated during the Renewals process?</w:t>
            </w:r>
          </w:p>
        </w:tc>
        <w:tc>
          <w:tcPr>
            <w:tcW w:w="4961" w:type="dxa"/>
            <w:vAlign w:val="center"/>
          </w:tcPr>
          <w:p w14:paraId="3F5BB6DB" w14:textId="77777777" w:rsidR="007625FD" w:rsidRPr="00DB7576" w:rsidRDefault="007625FD" w:rsidP="00EB317C">
            <w:pPr>
              <w:rPr>
                <w:rFonts w:cstheme="minorHAnsi"/>
              </w:rPr>
            </w:pPr>
          </w:p>
        </w:tc>
      </w:tr>
      <w:tr w:rsidR="007625FD" w:rsidRPr="00DB7576" w14:paraId="1A73A3D1" w14:textId="77777777" w:rsidTr="00307739">
        <w:trPr>
          <w:trHeight w:val="1134"/>
        </w:trPr>
        <w:tc>
          <w:tcPr>
            <w:tcW w:w="704" w:type="dxa"/>
            <w:vAlign w:val="center"/>
          </w:tcPr>
          <w:p w14:paraId="00AE9D25" w14:textId="77777777" w:rsidR="007625FD" w:rsidRDefault="007625FD" w:rsidP="00EB317C">
            <w:pPr>
              <w:rPr>
                <w:rFonts w:cstheme="minorHAnsi"/>
              </w:rPr>
            </w:pPr>
            <w:r>
              <w:rPr>
                <w:rFonts w:cstheme="minorHAnsi"/>
              </w:rPr>
              <w:t>7b</w:t>
            </w:r>
          </w:p>
        </w:tc>
        <w:tc>
          <w:tcPr>
            <w:tcW w:w="7938" w:type="dxa"/>
            <w:vAlign w:val="center"/>
          </w:tcPr>
          <w:p w14:paraId="45CF41C6" w14:textId="11C74853" w:rsidR="007625FD" w:rsidRPr="00D367BD" w:rsidRDefault="00FA56D2" w:rsidP="00EB317C">
            <w:pPr>
              <w:rPr>
                <w:rStyle w:val="normaltextrun"/>
                <w:rFonts w:cstheme="minorHAnsi"/>
                <w:color w:val="000000"/>
              </w:rPr>
            </w:pPr>
            <w:r w:rsidRPr="00D51A8A">
              <w:rPr>
                <w:rStyle w:val="normaltextrun"/>
                <w:rFonts w:cstheme="minorHAnsi"/>
                <w:color w:val="000000"/>
              </w:rPr>
              <w:t>If not, please articulate your concerns with clear rationale, and a specific alternate approach.</w:t>
            </w:r>
          </w:p>
        </w:tc>
        <w:tc>
          <w:tcPr>
            <w:tcW w:w="4961" w:type="dxa"/>
            <w:vAlign w:val="center"/>
          </w:tcPr>
          <w:p w14:paraId="3B1B1EA6" w14:textId="77777777" w:rsidR="007625FD" w:rsidRPr="00DB7576" w:rsidRDefault="007625FD" w:rsidP="00EB317C">
            <w:pPr>
              <w:rPr>
                <w:rFonts w:cstheme="minorHAnsi"/>
              </w:rPr>
            </w:pPr>
          </w:p>
        </w:tc>
      </w:tr>
      <w:tr w:rsidR="00FA56D2" w:rsidRPr="00DB7576" w14:paraId="36994C9D" w14:textId="77777777" w:rsidTr="003942A4">
        <w:trPr>
          <w:trHeight w:val="945"/>
        </w:trPr>
        <w:tc>
          <w:tcPr>
            <w:tcW w:w="704" w:type="dxa"/>
            <w:vAlign w:val="center"/>
          </w:tcPr>
          <w:p w14:paraId="6F214632" w14:textId="1CA61DF2" w:rsidR="00FA56D2" w:rsidRDefault="00FA56D2" w:rsidP="00F610E2">
            <w:pPr>
              <w:rPr>
                <w:rFonts w:cstheme="minorHAnsi"/>
              </w:rPr>
            </w:pPr>
            <w:r>
              <w:rPr>
                <w:rFonts w:cstheme="minorHAnsi"/>
              </w:rPr>
              <w:t>8</w:t>
            </w:r>
          </w:p>
        </w:tc>
        <w:tc>
          <w:tcPr>
            <w:tcW w:w="7938" w:type="dxa"/>
            <w:vAlign w:val="center"/>
          </w:tcPr>
          <w:p w14:paraId="55B61449" w14:textId="77777777" w:rsidR="004A1737" w:rsidRPr="00D51A8A" w:rsidRDefault="004A1737" w:rsidP="004A1737">
            <w:pPr>
              <w:rPr>
                <w:b/>
                <w:bCs/>
              </w:rPr>
            </w:pPr>
            <w:r w:rsidRPr="00D51A8A">
              <w:rPr>
                <w:b/>
                <w:bCs/>
              </w:rPr>
              <w:t>In-Life Events</w:t>
            </w:r>
          </w:p>
          <w:p w14:paraId="1E1BC09D" w14:textId="77777777" w:rsidR="004A1737" w:rsidRPr="004D2B55" w:rsidRDefault="004A1737" w:rsidP="004A1737">
            <w:pPr>
              <w:pStyle w:val="paragraph"/>
              <w:spacing w:before="240" w:after="120" w:line="276" w:lineRule="auto"/>
              <w:textAlignment w:val="baseline"/>
              <w:rPr>
                <w:rStyle w:val="normaltextrun"/>
                <w:rFonts w:asciiTheme="minorHAnsi" w:hAnsiTheme="minorHAnsi" w:cstheme="minorHAnsi"/>
                <w:color w:val="000000"/>
                <w:sz w:val="22"/>
                <w:szCs w:val="22"/>
              </w:rPr>
            </w:pPr>
            <w:r w:rsidRPr="004D2B55">
              <w:rPr>
                <w:rStyle w:val="normaltextrun"/>
                <w:rFonts w:asciiTheme="minorHAnsi" w:hAnsiTheme="minorHAnsi" w:cstheme="minorHAnsi"/>
                <w:color w:val="000000"/>
                <w:sz w:val="22"/>
                <w:szCs w:val="22"/>
              </w:rPr>
              <w:t>In-life events include Upgrades/downgrades (User Type amendments), Novation, update to User notification details and the ability to raise Support Tickets for any queries or issues about the UPI Service or the COSP.</w:t>
            </w:r>
          </w:p>
          <w:p w14:paraId="29B91C3B" w14:textId="77777777" w:rsidR="004A1737" w:rsidRPr="004D2B55" w:rsidRDefault="004A1737" w:rsidP="004A1737">
            <w:r w:rsidRPr="004D2B55">
              <w:t>These events will be primarily managed on the COSP for UPI clients, with assistance provided by the DSB Support teams where required. Until such a time that OTC ISIN clients are transitioned onto the COSP, they will continue to use the existing email channel as the default approach for raising requests for support.</w:t>
            </w:r>
          </w:p>
          <w:p w14:paraId="3D7CCB11" w14:textId="77777777" w:rsidR="004A1737" w:rsidRPr="004D2B55" w:rsidRDefault="004A1737" w:rsidP="004A1737"/>
          <w:p w14:paraId="77871786" w14:textId="77777777" w:rsidR="004A1737" w:rsidRPr="004D2B55" w:rsidRDefault="004A1737" w:rsidP="004A1737">
            <w:r w:rsidRPr="004D2B55">
              <w:t>Where these events necessitate amendment to existing paperwork, or generate a new Subscription Form, data entered by the client online via the COSP will be used to pre-populate the relevant document template for client review and approval.</w:t>
            </w:r>
          </w:p>
          <w:p w14:paraId="149E7368" w14:textId="77777777" w:rsidR="004A1737" w:rsidRPr="004D2B55" w:rsidRDefault="004A1737" w:rsidP="004A1737">
            <w:pPr>
              <w:rPr>
                <w:lang w:val="en-GB"/>
              </w:rPr>
            </w:pPr>
          </w:p>
          <w:p w14:paraId="1DBE1CD9" w14:textId="77777777" w:rsidR="004A1737" w:rsidRPr="004D2B55" w:rsidRDefault="004A1737" w:rsidP="004A1737">
            <w:r w:rsidRPr="004D2B55">
              <w:rPr>
                <w:lang w:val="en-GB"/>
              </w:rPr>
              <w:t>Each subscription is a separate legal agreement comprising the Subscription details, Main Terms and Policies. As such, action can be taken in-life on any subscription in isolation or on multiple subscriptions in parallel.</w:t>
            </w:r>
          </w:p>
          <w:p w14:paraId="21656FED" w14:textId="77777777" w:rsidR="004A1737" w:rsidRPr="004D2B55" w:rsidRDefault="004A1737" w:rsidP="004A1737">
            <w:pPr>
              <w:rPr>
                <w:color w:val="FF0000"/>
                <w:lang w:val="en-GB"/>
              </w:rPr>
            </w:pPr>
          </w:p>
          <w:p w14:paraId="4B838853" w14:textId="77777777" w:rsidR="004A1737" w:rsidRPr="004D2B55" w:rsidRDefault="004A1737" w:rsidP="004A1737">
            <w:r w:rsidRPr="004D2B55">
              <w:lastRenderedPageBreak/>
              <w:t>For a combined User of both OTC ISIN and UPI Services, where there is a breach of the Acceptable Use Policy or for non-payment on one service, the DSB will have the discretion to suspend subscriptions across both services via cross-subscription provisions.</w:t>
            </w:r>
          </w:p>
          <w:p w14:paraId="1011BEF5" w14:textId="77777777" w:rsidR="004A1737" w:rsidRPr="004D2B55" w:rsidRDefault="004A1737" w:rsidP="004A1737"/>
          <w:p w14:paraId="6A8EEF10" w14:textId="497677D4" w:rsidR="00FA56D2" w:rsidRPr="003942A4" w:rsidRDefault="004A1737" w:rsidP="00F610E2">
            <w:pPr>
              <w:rPr>
                <w:rStyle w:val="normaltextrun"/>
              </w:rPr>
            </w:pPr>
            <w:r w:rsidRPr="004D2B55">
              <w:t>There is no change to the existing mechanism for handling in-life events for OTC ISIN Users.</w:t>
            </w:r>
          </w:p>
        </w:tc>
        <w:tc>
          <w:tcPr>
            <w:tcW w:w="4961" w:type="dxa"/>
            <w:vAlign w:val="center"/>
          </w:tcPr>
          <w:p w14:paraId="08761F3E" w14:textId="77777777" w:rsidR="00FA56D2" w:rsidRPr="00DB7576" w:rsidRDefault="00FA56D2" w:rsidP="00F610E2">
            <w:pPr>
              <w:rPr>
                <w:rFonts w:cstheme="minorHAnsi"/>
              </w:rPr>
            </w:pPr>
          </w:p>
        </w:tc>
      </w:tr>
      <w:tr w:rsidR="007625FD" w:rsidRPr="00DB7576" w14:paraId="5DBB31AC" w14:textId="77777777" w:rsidTr="00307739">
        <w:trPr>
          <w:trHeight w:val="1134"/>
        </w:trPr>
        <w:tc>
          <w:tcPr>
            <w:tcW w:w="704" w:type="dxa"/>
            <w:vAlign w:val="center"/>
          </w:tcPr>
          <w:p w14:paraId="616056C6" w14:textId="77777777" w:rsidR="007625FD" w:rsidRDefault="007625FD" w:rsidP="00EB317C">
            <w:pPr>
              <w:rPr>
                <w:rFonts w:cstheme="minorHAnsi"/>
              </w:rPr>
            </w:pPr>
            <w:r>
              <w:rPr>
                <w:rFonts w:cstheme="minorHAnsi"/>
              </w:rPr>
              <w:t>8a</w:t>
            </w:r>
          </w:p>
        </w:tc>
        <w:tc>
          <w:tcPr>
            <w:tcW w:w="7938" w:type="dxa"/>
            <w:vAlign w:val="center"/>
          </w:tcPr>
          <w:p w14:paraId="0BA69E43" w14:textId="2229B93C" w:rsidR="007625FD" w:rsidRPr="00D367BD" w:rsidRDefault="00341C59" w:rsidP="00EB317C">
            <w:pPr>
              <w:rPr>
                <w:rStyle w:val="normaltextrun"/>
                <w:rFonts w:cstheme="minorHAnsi"/>
                <w:color w:val="000000"/>
              </w:rPr>
            </w:pPr>
            <w:r w:rsidRPr="00D51A8A">
              <w:rPr>
                <w:rStyle w:val="normaltextrun"/>
                <w:rFonts w:cstheme="minorHAnsi"/>
                <w:color w:val="000000"/>
              </w:rPr>
              <w:t>Do you agree with the proposed approach for managing in-life events via the online platform?</w:t>
            </w:r>
          </w:p>
        </w:tc>
        <w:tc>
          <w:tcPr>
            <w:tcW w:w="4961" w:type="dxa"/>
            <w:vAlign w:val="center"/>
          </w:tcPr>
          <w:p w14:paraId="121228FD" w14:textId="77777777" w:rsidR="007625FD" w:rsidRPr="00DB7576" w:rsidRDefault="007625FD" w:rsidP="00EB317C">
            <w:pPr>
              <w:rPr>
                <w:rFonts w:cstheme="minorHAnsi"/>
              </w:rPr>
            </w:pPr>
          </w:p>
        </w:tc>
      </w:tr>
      <w:tr w:rsidR="007625FD" w:rsidRPr="00DB7576" w14:paraId="571581E8" w14:textId="77777777" w:rsidTr="00307739">
        <w:trPr>
          <w:trHeight w:val="1134"/>
        </w:trPr>
        <w:tc>
          <w:tcPr>
            <w:tcW w:w="704" w:type="dxa"/>
            <w:vAlign w:val="center"/>
          </w:tcPr>
          <w:p w14:paraId="716D836D" w14:textId="77777777" w:rsidR="007625FD" w:rsidRDefault="007625FD" w:rsidP="00EB317C">
            <w:pPr>
              <w:rPr>
                <w:rFonts w:cstheme="minorHAnsi"/>
              </w:rPr>
            </w:pPr>
            <w:r>
              <w:rPr>
                <w:rFonts w:cstheme="minorHAnsi"/>
              </w:rPr>
              <w:t>8b</w:t>
            </w:r>
          </w:p>
        </w:tc>
        <w:tc>
          <w:tcPr>
            <w:tcW w:w="7938" w:type="dxa"/>
            <w:vAlign w:val="center"/>
          </w:tcPr>
          <w:p w14:paraId="1157D4AD" w14:textId="54BAB8E4" w:rsidR="007625FD" w:rsidRPr="00D367BD" w:rsidRDefault="006B6BE2" w:rsidP="00EB317C">
            <w:pPr>
              <w:rPr>
                <w:rStyle w:val="normaltextrun"/>
                <w:rFonts w:cstheme="minorHAnsi"/>
                <w:color w:val="000000"/>
              </w:rPr>
            </w:pPr>
            <w:r w:rsidRPr="00D51A8A">
              <w:rPr>
                <w:rStyle w:val="normaltextrun"/>
                <w:rFonts w:cstheme="minorHAnsi"/>
                <w:color w:val="000000"/>
              </w:rPr>
              <w:t>If not, please articulate your concerns and provide details on any specific alternate approach that you would advocate.</w:t>
            </w:r>
          </w:p>
        </w:tc>
        <w:tc>
          <w:tcPr>
            <w:tcW w:w="4961" w:type="dxa"/>
            <w:vAlign w:val="center"/>
          </w:tcPr>
          <w:p w14:paraId="7186AFDC" w14:textId="77777777" w:rsidR="007625FD" w:rsidRPr="00DB7576" w:rsidRDefault="007625FD" w:rsidP="00EB317C">
            <w:pPr>
              <w:rPr>
                <w:rFonts w:cstheme="minorHAnsi"/>
              </w:rPr>
            </w:pPr>
          </w:p>
        </w:tc>
      </w:tr>
      <w:tr w:rsidR="006B6BE2" w:rsidRPr="00DB7576" w14:paraId="75C96CCD" w14:textId="77777777" w:rsidTr="00307739">
        <w:trPr>
          <w:trHeight w:val="1134"/>
        </w:trPr>
        <w:tc>
          <w:tcPr>
            <w:tcW w:w="704" w:type="dxa"/>
            <w:vAlign w:val="center"/>
          </w:tcPr>
          <w:p w14:paraId="535EDD3B" w14:textId="4A59AB37" w:rsidR="006B6BE2" w:rsidRDefault="006B6BE2" w:rsidP="00F610E2">
            <w:pPr>
              <w:rPr>
                <w:rFonts w:cstheme="minorHAnsi"/>
              </w:rPr>
            </w:pPr>
            <w:r>
              <w:rPr>
                <w:rFonts w:cstheme="minorHAnsi"/>
              </w:rPr>
              <w:t>9</w:t>
            </w:r>
          </w:p>
        </w:tc>
        <w:tc>
          <w:tcPr>
            <w:tcW w:w="7938" w:type="dxa"/>
            <w:vAlign w:val="center"/>
          </w:tcPr>
          <w:p w14:paraId="3E36679A" w14:textId="4C420280" w:rsidR="007D0631" w:rsidRPr="00D51A8A" w:rsidRDefault="007D0631" w:rsidP="007D0631">
            <w:pPr>
              <w:rPr>
                <w:b/>
                <w:bCs/>
              </w:rPr>
            </w:pPr>
            <w:r w:rsidRPr="00D51A8A">
              <w:rPr>
                <w:b/>
                <w:bCs/>
              </w:rPr>
              <w:t>Service Level Agreements</w:t>
            </w:r>
          </w:p>
          <w:p w14:paraId="75207243" w14:textId="77777777" w:rsidR="007D0631" w:rsidRPr="00D51A8A" w:rsidRDefault="007D0631" w:rsidP="00D51A8A">
            <w:pPr>
              <w:rPr>
                <w:rStyle w:val="normaltextrun"/>
              </w:rPr>
            </w:pPr>
          </w:p>
          <w:p w14:paraId="4831502B" w14:textId="77777777" w:rsidR="00463BBD" w:rsidRDefault="00463BBD" w:rsidP="00463BBD">
            <w:r>
              <w:t>A</w:t>
            </w:r>
            <w:r w:rsidRPr="003A6D6E">
              <w:t xml:space="preserve">nalysis is underway in consultation with the DSB’s Technical Advisory Committee on the potential impact on latency for the existing OTC ISIN </w:t>
            </w:r>
            <w:r>
              <w:t>S</w:t>
            </w:r>
            <w:r w:rsidRPr="003A6D6E">
              <w:t xml:space="preserve">ervice given that the UPI Parent will be required to be created in addition to the </w:t>
            </w:r>
            <w:r>
              <w:t xml:space="preserve">OTC </w:t>
            </w:r>
            <w:r w:rsidRPr="003A6D6E">
              <w:t>ISIN. This may result in a revision of the existing OTC ISIN SLA for latency.</w:t>
            </w:r>
          </w:p>
          <w:p w14:paraId="26DD5791" w14:textId="77777777" w:rsidR="00463BBD" w:rsidRDefault="00463BBD" w:rsidP="00463BBD"/>
          <w:p w14:paraId="14751644" w14:textId="77777777" w:rsidR="00463BBD" w:rsidRDefault="00463BBD" w:rsidP="00463BBD">
            <w:pPr>
              <w:rPr>
                <w:lang w:val="en-GB"/>
              </w:rPr>
            </w:pPr>
            <w:r>
              <w:rPr>
                <w:lang w:val="en-GB"/>
              </w:rPr>
              <w:t>Notwithstanding impact analysis on the existing OTC ISIN SLAs, the design principle for the UPI Service is that at a minimum the OTC ISIN SLAs will apply, such that there is consistency across the services.</w:t>
            </w:r>
          </w:p>
          <w:p w14:paraId="6AE3F835" w14:textId="77777777" w:rsidR="00463BBD" w:rsidRDefault="00463BBD" w:rsidP="00463BBD"/>
          <w:p w14:paraId="46B5EA5C" w14:textId="2DF0BF23" w:rsidR="00463BBD" w:rsidRDefault="00463BBD" w:rsidP="00463BBD">
            <w:r>
              <w:rPr>
                <w:lang w:val="en-GB"/>
              </w:rPr>
              <w:t>The SLOs (Service Level Objectives) for the new COSP will also be to match at a minimum the SLAs for the current OTC ISIN Service.</w:t>
            </w:r>
          </w:p>
          <w:p w14:paraId="795A0A27" w14:textId="77777777" w:rsidR="006B6BE2" w:rsidRPr="004D2B55" w:rsidRDefault="006B6BE2" w:rsidP="00463BBD">
            <w:pPr>
              <w:rPr>
                <w:rStyle w:val="normaltextrun"/>
                <w:rFonts w:cstheme="minorHAnsi"/>
                <w:color w:val="000000"/>
              </w:rPr>
            </w:pPr>
          </w:p>
        </w:tc>
        <w:tc>
          <w:tcPr>
            <w:tcW w:w="4961" w:type="dxa"/>
            <w:vAlign w:val="center"/>
          </w:tcPr>
          <w:p w14:paraId="0E4485B0" w14:textId="77777777" w:rsidR="006B6BE2" w:rsidRPr="00DB7576" w:rsidRDefault="006B6BE2" w:rsidP="00F610E2">
            <w:pPr>
              <w:rPr>
                <w:rFonts w:cstheme="minorHAnsi"/>
              </w:rPr>
            </w:pPr>
          </w:p>
        </w:tc>
      </w:tr>
      <w:tr w:rsidR="007625FD" w:rsidRPr="00DB7576" w14:paraId="28A3092E" w14:textId="77777777" w:rsidTr="00307739">
        <w:trPr>
          <w:trHeight w:val="1134"/>
        </w:trPr>
        <w:tc>
          <w:tcPr>
            <w:tcW w:w="704" w:type="dxa"/>
            <w:vAlign w:val="center"/>
          </w:tcPr>
          <w:p w14:paraId="6F258C34" w14:textId="77777777" w:rsidR="007625FD" w:rsidRDefault="007625FD" w:rsidP="00EB317C">
            <w:pPr>
              <w:rPr>
                <w:rFonts w:cstheme="minorHAnsi"/>
              </w:rPr>
            </w:pPr>
            <w:r>
              <w:rPr>
                <w:rFonts w:cstheme="minorHAnsi"/>
              </w:rPr>
              <w:lastRenderedPageBreak/>
              <w:t>9a</w:t>
            </w:r>
          </w:p>
        </w:tc>
        <w:tc>
          <w:tcPr>
            <w:tcW w:w="7938" w:type="dxa"/>
            <w:vAlign w:val="center"/>
          </w:tcPr>
          <w:p w14:paraId="0E808873" w14:textId="54B70C83" w:rsidR="007625FD" w:rsidRPr="00D367BD" w:rsidRDefault="00620224" w:rsidP="00EB317C">
            <w:pPr>
              <w:rPr>
                <w:rStyle w:val="normaltextrun"/>
                <w:rFonts w:cstheme="minorHAnsi"/>
                <w:color w:val="000000"/>
              </w:rPr>
            </w:pPr>
            <w:r w:rsidRPr="00D51A8A">
              <w:rPr>
                <w:rStyle w:val="normaltextrun"/>
                <w:rFonts w:cstheme="minorHAnsi"/>
                <w:color w:val="000000"/>
              </w:rPr>
              <w:t xml:space="preserve">Do you think it is reasonable to apply in principle to extend the OTC ISIN SLAs to the </w:t>
            </w:r>
            <w:r w:rsidR="00F07F21">
              <w:rPr>
                <w:rStyle w:val="normaltextrun"/>
                <w:rFonts w:cstheme="minorHAnsi"/>
                <w:color w:val="000000"/>
              </w:rPr>
              <w:t>UPI Service</w:t>
            </w:r>
            <w:r w:rsidRPr="00D51A8A">
              <w:rPr>
                <w:rStyle w:val="normaltextrun"/>
                <w:rFonts w:cstheme="minorHAnsi"/>
                <w:color w:val="000000"/>
              </w:rPr>
              <w:t xml:space="preserve"> and COSP platform?</w:t>
            </w:r>
          </w:p>
        </w:tc>
        <w:tc>
          <w:tcPr>
            <w:tcW w:w="4961" w:type="dxa"/>
            <w:vAlign w:val="center"/>
          </w:tcPr>
          <w:p w14:paraId="73FF6A6F" w14:textId="77777777" w:rsidR="007625FD" w:rsidRPr="00DB7576" w:rsidRDefault="007625FD" w:rsidP="00EB317C">
            <w:pPr>
              <w:rPr>
                <w:rFonts w:cstheme="minorHAnsi"/>
              </w:rPr>
            </w:pPr>
          </w:p>
        </w:tc>
      </w:tr>
      <w:tr w:rsidR="007625FD" w:rsidRPr="00DB7576" w14:paraId="396E33DF" w14:textId="77777777" w:rsidTr="00307739">
        <w:trPr>
          <w:trHeight w:val="1134"/>
        </w:trPr>
        <w:tc>
          <w:tcPr>
            <w:tcW w:w="704" w:type="dxa"/>
            <w:vAlign w:val="center"/>
          </w:tcPr>
          <w:p w14:paraId="11A3F012" w14:textId="77777777" w:rsidR="007625FD" w:rsidRDefault="007625FD" w:rsidP="00EB317C">
            <w:pPr>
              <w:rPr>
                <w:rFonts w:cstheme="minorHAnsi"/>
              </w:rPr>
            </w:pPr>
            <w:r>
              <w:rPr>
                <w:rFonts w:cstheme="minorHAnsi"/>
              </w:rPr>
              <w:t>9b</w:t>
            </w:r>
          </w:p>
        </w:tc>
        <w:tc>
          <w:tcPr>
            <w:tcW w:w="7938" w:type="dxa"/>
            <w:vAlign w:val="center"/>
          </w:tcPr>
          <w:p w14:paraId="2DE9E403" w14:textId="665B4AA1" w:rsidR="007625FD" w:rsidRPr="00D367BD" w:rsidRDefault="006615D4" w:rsidP="00EB317C">
            <w:pPr>
              <w:rPr>
                <w:rStyle w:val="normaltextrun"/>
                <w:rFonts w:cstheme="minorHAnsi"/>
                <w:color w:val="000000"/>
              </w:rPr>
            </w:pPr>
            <w:r w:rsidRPr="00D51A8A">
              <w:rPr>
                <w:rStyle w:val="normaltextrun"/>
                <w:rFonts w:cstheme="minorHAnsi"/>
                <w:color w:val="000000"/>
              </w:rPr>
              <w:t xml:space="preserve">If not, what expectations do you have for the SLAs for the </w:t>
            </w:r>
            <w:r w:rsidR="00F07F21">
              <w:rPr>
                <w:rStyle w:val="normaltextrun"/>
                <w:rFonts w:cstheme="minorHAnsi"/>
                <w:color w:val="000000"/>
              </w:rPr>
              <w:t>UPI Service</w:t>
            </w:r>
            <w:r w:rsidRPr="00D51A8A">
              <w:rPr>
                <w:rStyle w:val="normaltextrun"/>
                <w:rFonts w:cstheme="minorHAnsi"/>
                <w:color w:val="000000"/>
              </w:rPr>
              <w:t xml:space="preserve"> and COSP platform?</w:t>
            </w:r>
          </w:p>
        </w:tc>
        <w:tc>
          <w:tcPr>
            <w:tcW w:w="4961" w:type="dxa"/>
            <w:vAlign w:val="center"/>
          </w:tcPr>
          <w:p w14:paraId="00DD00A4" w14:textId="77777777" w:rsidR="007625FD" w:rsidRPr="00DB7576" w:rsidRDefault="007625FD" w:rsidP="00EB317C">
            <w:pPr>
              <w:rPr>
                <w:rFonts w:cstheme="minorHAnsi"/>
              </w:rPr>
            </w:pPr>
          </w:p>
        </w:tc>
      </w:tr>
      <w:tr w:rsidR="006615D4" w:rsidRPr="00DB7576" w14:paraId="68A0A6CB" w14:textId="77777777" w:rsidTr="00307739">
        <w:trPr>
          <w:trHeight w:val="1134"/>
        </w:trPr>
        <w:tc>
          <w:tcPr>
            <w:tcW w:w="704" w:type="dxa"/>
            <w:vAlign w:val="center"/>
          </w:tcPr>
          <w:p w14:paraId="5BD08929" w14:textId="0ED04AC0" w:rsidR="006615D4" w:rsidRDefault="006615D4" w:rsidP="00F610E2">
            <w:pPr>
              <w:rPr>
                <w:rFonts w:cstheme="minorHAnsi"/>
              </w:rPr>
            </w:pPr>
            <w:r>
              <w:rPr>
                <w:rFonts w:cstheme="minorHAnsi"/>
              </w:rPr>
              <w:t>10</w:t>
            </w:r>
          </w:p>
        </w:tc>
        <w:tc>
          <w:tcPr>
            <w:tcW w:w="7938" w:type="dxa"/>
            <w:vAlign w:val="center"/>
          </w:tcPr>
          <w:p w14:paraId="3F9CC789" w14:textId="28D2B21F" w:rsidR="001751DD" w:rsidRPr="00D51A8A" w:rsidRDefault="001751DD" w:rsidP="00D51A8A">
            <w:pPr>
              <w:spacing w:after="160" w:line="259" w:lineRule="auto"/>
              <w:rPr>
                <w:rStyle w:val="normaltextrun"/>
                <w:b/>
                <w:bCs/>
              </w:rPr>
            </w:pPr>
            <w:r w:rsidRPr="00D51A8A">
              <w:rPr>
                <w:b/>
                <w:bCs/>
              </w:rPr>
              <w:t xml:space="preserve">DSB Governance Policy Dispute Resolution Mechanism </w:t>
            </w:r>
          </w:p>
          <w:p w14:paraId="6A2AE3BA" w14:textId="76C821C7" w:rsidR="006615D4" w:rsidRPr="00D51A8A" w:rsidRDefault="0075262F" w:rsidP="00D51A8A">
            <w:pPr>
              <w:pStyle w:val="paragraph"/>
              <w:spacing w:before="240" w:beforeAutospacing="0" w:after="120" w:afterAutospacing="0" w:line="276" w:lineRule="auto"/>
              <w:textAlignment w:val="baseline"/>
              <w:rPr>
                <w:rStyle w:val="normaltextrun"/>
                <w:rFonts w:asciiTheme="minorHAnsi" w:hAnsiTheme="minorHAnsi" w:cstheme="minorHAnsi"/>
                <w:color w:val="000000"/>
                <w:sz w:val="22"/>
                <w:szCs w:val="22"/>
              </w:rPr>
            </w:pPr>
            <w:r w:rsidRPr="00662B6B">
              <w:rPr>
                <w:rStyle w:val="normaltextrun"/>
                <w:rFonts w:asciiTheme="minorHAnsi" w:hAnsiTheme="minorHAnsi" w:cstheme="minorHAnsi"/>
                <w:color w:val="000000"/>
                <w:sz w:val="22"/>
                <w:szCs w:val="22"/>
              </w:rPr>
              <w:t xml:space="preserve">As a result of </w:t>
            </w:r>
            <w:r w:rsidRPr="00795A38">
              <w:rPr>
                <w:rStyle w:val="normaltextrun"/>
                <w:rFonts w:asciiTheme="minorHAnsi" w:hAnsiTheme="minorHAnsi" w:cstheme="minorHAnsi"/>
                <w:color w:val="000000"/>
                <w:sz w:val="22"/>
                <w:szCs w:val="22"/>
              </w:rPr>
              <w:t xml:space="preserve">prior </w:t>
            </w:r>
            <w:r w:rsidRPr="00662B6B">
              <w:rPr>
                <w:rStyle w:val="normaltextrun"/>
                <w:rFonts w:asciiTheme="minorHAnsi" w:hAnsiTheme="minorHAnsi" w:cstheme="minorHAnsi"/>
                <w:color w:val="000000"/>
                <w:sz w:val="22"/>
                <w:szCs w:val="22"/>
              </w:rPr>
              <w:t xml:space="preserve">industry consultation, </w:t>
            </w:r>
            <w:r>
              <w:rPr>
                <w:rStyle w:val="normaltextrun"/>
                <w:rFonts w:asciiTheme="minorHAnsi" w:hAnsiTheme="minorHAnsi" w:cstheme="minorHAnsi"/>
                <w:color w:val="000000"/>
                <w:sz w:val="22"/>
                <w:szCs w:val="22"/>
              </w:rPr>
              <w:t xml:space="preserve">the </w:t>
            </w:r>
            <w:r w:rsidRPr="006F6280">
              <w:rPr>
                <w:rStyle w:val="normaltextrun"/>
                <w:rFonts w:asciiTheme="minorHAnsi" w:hAnsiTheme="minorHAnsi" w:cstheme="minorHAnsi"/>
                <w:color w:val="000000"/>
                <w:sz w:val="22"/>
                <w:szCs w:val="22"/>
              </w:rPr>
              <w:t xml:space="preserve">DSB Disputes and Resolution process </w:t>
            </w:r>
            <w:r>
              <w:rPr>
                <w:rStyle w:val="normaltextrun"/>
                <w:rFonts w:asciiTheme="minorHAnsi" w:hAnsiTheme="minorHAnsi" w:cstheme="minorHAnsi"/>
                <w:color w:val="000000"/>
                <w:sz w:val="22"/>
                <w:szCs w:val="22"/>
              </w:rPr>
              <w:t>for the existing OTC ISIN Service is arbitration (</w:t>
            </w:r>
            <w:r w:rsidRPr="006F6280">
              <w:rPr>
                <w:rStyle w:val="normaltextrun"/>
                <w:rFonts w:asciiTheme="minorHAnsi" w:hAnsiTheme="minorHAnsi" w:cstheme="minorHAnsi"/>
                <w:color w:val="000000"/>
                <w:sz w:val="22"/>
                <w:szCs w:val="22"/>
              </w:rPr>
              <w:t xml:space="preserve">referring disputes to the London Court of International Arbitration (LCIA) and incorporating a </w:t>
            </w:r>
            <w:proofErr w:type="gramStart"/>
            <w:r w:rsidRPr="006F6280">
              <w:rPr>
                <w:rStyle w:val="normaltextrun"/>
                <w:rFonts w:asciiTheme="minorHAnsi" w:hAnsiTheme="minorHAnsi" w:cstheme="minorHAnsi"/>
                <w:color w:val="000000"/>
                <w:sz w:val="22"/>
                <w:szCs w:val="22"/>
              </w:rPr>
              <w:t>small claims</w:t>
            </w:r>
            <w:proofErr w:type="gramEnd"/>
            <w:r w:rsidRPr="006F6280">
              <w:rPr>
                <w:rStyle w:val="normaltextrun"/>
                <w:rFonts w:asciiTheme="minorHAnsi" w:hAnsiTheme="minorHAnsi" w:cstheme="minorHAnsi"/>
                <w:color w:val="000000"/>
                <w:sz w:val="22"/>
                <w:szCs w:val="22"/>
              </w:rPr>
              <w:t xml:space="preserve"> procedure</w:t>
            </w:r>
            <w:r>
              <w:rPr>
                <w:rStyle w:val="normaltextrun"/>
                <w:rFonts w:asciiTheme="minorHAnsi" w:hAnsiTheme="minorHAnsi" w:cstheme="minorHAnsi"/>
                <w:color w:val="000000"/>
                <w:sz w:val="22"/>
                <w:szCs w:val="22"/>
              </w:rPr>
              <w:t>). For alignment in how the Services are governed, the DSB proposes to apply the same arbitration approach to the UPI Service upon its launch.</w:t>
            </w:r>
          </w:p>
        </w:tc>
        <w:tc>
          <w:tcPr>
            <w:tcW w:w="4961" w:type="dxa"/>
            <w:vAlign w:val="center"/>
          </w:tcPr>
          <w:p w14:paraId="0A6F3DC0" w14:textId="77777777" w:rsidR="006615D4" w:rsidRPr="00DB7576" w:rsidRDefault="006615D4" w:rsidP="00F610E2">
            <w:pPr>
              <w:rPr>
                <w:rFonts w:cstheme="minorHAnsi"/>
              </w:rPr>
            </w:pPr>
          </w:p>
        </w:tc>
      </w:tr>
      <w:tr w:rsidR="007625FD" w:rsidRPr="00DB7576" w14:paraId="61F0DDEF" w14:textId="77777777" w:rsidTr="00307739">
        <w:trPr>
          <w:trHeight w:val="1134"/>
        </w:trPr>
        <w:tc>
          <w:tcPr>
            <w:tcW w:w="704" w:type="dxa"/>
            <w:vAlign w:val="center"/>
          </w:tcPr>
          <w:p w14:paraId="53C8D6DE" w14:textId="77777777" w:rsidR="007625FD" w:rsidRDefault="007625FD" w:rsidP="00EB317C">
            <w:pPr>
              <w:rPr>
                <w:rFonts w:cstheme="minorHAnsi"/>
              </w:rPr>
            </w:pPr>
            <w:r>
              <w:rPr>
                <w:rFonts w:cstheme="minorHAnsi"/>
              </w:rPr>
              <w:t>10a</w:t>
            </w:r>
          </w:p>
        </w:tc>
        <w:tc>
          <w:tcPr>
            <w:tcW w:w="7938" w:type="dxa"/>
            <w:vAlign w:val="center"/>
          </w:tcPr>
          <w:p w14:paraId="5AE7D452" w14:textId="7ACD1FB0" w:rsidR="007625FD" w:rsidRPr="00D367BD" w:rsidRDefault="00411085" w:rsidP="00EB317C">
            <w:pPr>
              <w:rPr>
                <w:rStyle w:val="normaltextrun"/>
                <w:rFonts w:cstheme="minorHAnsi"/>
                <w:color w:val="000000"/>
              </w:rPr>
            </w:pPr>
            <w:r w:rsidRPr="00D51A8A">
              <w:rPr>
                <w:rStyle w:val="normaltextrun"/>
                <w:rFonts w:cstheme="minorHAnsi"/>
                <w:color w:val="000000"/>
              </w:rPr>
              <w:t>Do you concur that the Dispute Resolution Mechanism should be extended to the UPI Service?</w:t>
            </w:r>
          </w:p>
        </w:tc>
        <w:tc>
          <w:tcPr>
            <w:tcW w:w="4961" w:type="dxa"/>
            <w:vAlign w:val="center"/>
          </w:tcPr>
          <w:p w14:paraId="0AC9272F" w14:textId="77777777" w:rsidR="007625FD" w:rsidRPr="00DB7576" w:rsidRDefault="007625FD" w:rsidP="00EB317C">
            <w:pPr>
              <w:rPr>
                <w:rFonts w:cstheme="minorHAnsi"/>
              </w:rPr>
            </w:pPr>
          </w:p>
        </w:tc>
      </w:tr>
      <w:tr w:rsidR="007625FD" w:rsidRPr="00DB7576" w14:paraId="30BE0F5C" w14:textId="77777777" w:rsidTr="00307739">
        <w:trPr>
          <w:trHeight w:val="1134"/>
        </w:trPr>
        <w:tc>
          <w:tcPr>
            <w:tcW w:w="704" w:type="dxa"/>
            <w:vAlign w:val="center"/>
          </w:tcPr>
          <w:p w14:paraId="707F0BF0" w14:textId="77777777" w:rsidR="007625FD" w:rsidRDefault="007625FD" w:rsidP="00EB317C">
            <w:pPr>
              <w:rPr>
                <w:rFonts w:cstheme="minorHAnsi"/>
              </w:rPr>
            </w:pPr>
            <w:r>
              <w:rPr>
                <w:rFonts w:cstheme="minorHAnsi"/>
              </w:rPr>
              <w:t>10b</w:t>
            </w:r>
          </w:p>
        </w:tc>
        <w:tc>
          <w:tcPr>
            <w:tcW w:w="7938" w:type="dxa"/>
            <w:vAlign w:val="center"/>
          </w:tcPr>
          <w:p w14:paraId="54F9E887" w14:textId="03B4635B" w:rsidR="007625FD" w:rsidRPr="00D367BD" w:rsidRDefault="007625FD" w:rsidP="00EB317C">
            <w:pPr>
              <w:rPr>
                <w:rStyle w:val="normaltextrun"/>
                <w:rFonts w:cstheme="minorHAnsi"/>
                <w:color w:val="000000"/>
              </w:rPr>
            </w:pPr>
            <w:r w:rsidRPr="00F610E2">
              <w:rPr>
                <w:rStyle w:val="normaltextrun"/>
                <w:rFonts w:cstheme="minorHAnsi"/>
                <w:color w:val="000000"/>
              </w:rPr>
              <w:t xml:space="preserve">If not, what specific alternate approach do you recommend? </w:t>
            </w:r>
            <w:r w:rsidR="007758C2" w:rsidRPr="00D51A8A">
              <w:rPr>
                <w:rStyle w:val="normaltextrun"/>
                <w:rFonts w:cstheme="minorHAnsi"/>
                <w:color w:val="000000"/>
              </w:rPr>
              <w:t>Please provide a clear and objective rationale for each alternate approach you recommend.</w:t>
            </w:r>
          </w:p>
        </w:tc>
        <w:tc>
          <w:tcPr>
            <w:tcW w:w="4961" w:type="dxa"/>
            <w:vAlign w:val="center"/>
          </w:tcPr>
          <w:p w14:paraId="125A6414" w14:textId="77777777" w:rsidR="007625FD" w:rsidRPr="00DB7576" w:rsidRDefault="007625FD" w:rsidP="00EB317C">
            <w:pPr>
              <w:rPr>
                <w:rFonts w:cstheme="minorHAnsi"/>
              </w:rPr>
            </w:pPr>
          </w:p>
        </w:tc>
      </w:tr>
      <w:tr w:rsidR="007758C2" w:rsidRPr="00DB7576" w14:paraId="5219F11C" w14:textId="77777777" w:rsidTr="00307739">
        <w:trPr>
          <w:trHeight w:val="1134"/>
        </w:trPr>
        <w:tc>
          <w:tcPr>
            <w:tcW w:w="704" w:type="dxa"/>
            <w:vAlign w:val="center"/>
          </w:tcPr>
          <w:p w14:paraId="2270B83E" w14:textId="0D7527D6" w:rsidR="007758C2" w:rsidRDefault="007758C2" w:rsidP="00F610E2">
            <w:pPr>
              <w:rPr>
                <w:rFonts w:cstheme="minorHAnsi"/>
              </w:rPr>
            </w:pPr>
            <w:r>
              <w:rPr>
                <w:rFonts w:cstheme="minorHAnsi"/>
              </w:rPr>
              <w:t>1</w:t>
            </w:r>
            <w:r>
              <w:t>1</w:t>
            </w:r>
          </w:p>
        </w:tc>
        <w:tc>
          <w:tcPr>
            <w:tcW w:w="7938" w:type="dxa"/>
            <w:vAlign w:val="center"/>
          </w:tcPr>
          <w:p w14:paraId="128A4D68" w14:textId="77777777" w:rsidR="007758C2" w:rsidRPr="00D51A8A" w:rsidRDefault="00743664" w:rsidP="00F610E2">
            <w:pPr>
              <w:rPr>
                <w:b/>
                <w:bCs/>
              </w:rPr>
            </w:pPr>
            <w:r w:rsidRPr="00D51A8A">
              <w:rPr>
                <w:b/>
                <w:bCs/>
              </w:rPr>
              <w:t>Fee Model Variables</w:t>
            </w:r>
          </w:p>
          <w:p w14:paraId="3226CF35" w14:textId="77777777" w:rsidR="00202E15" w:rsidRPr="004D2B55" w:rsidRDefault="00202E15" w:rsidP="00202E15">
            <w:pPr>
              <w:jc w:val="both"/>
              <w:rPr>
                <w:lang w:val="en-GB"/>
              </w:rPr>
            </w:pPr>
          </w:p>
          <w:p w14:paraId="49A4E68C" w14:textId="292ED520" w:rsidR="0075262F" w:rsidRDefault="0075262F" w:rsidP="0075262F">
            <w:pPr>
              <w:jc w:val="both"/>
              <w:rPr>
                <w:rFonts w:cstheme="minorHAnsi"/>
                <w:lang w:val="en-GB"/>
              </w:rPr>
            </w:pPr>
            <w:r>
              <w:rPr>
                <w:rFonts w:cstheme="minorHAnsi"/>
                <w:lang w:val="en-GB"/>
              </w:rPr>
              <w:t xml:space="preserve">Based on the existing DSB fee model structure, the variables to calculate the user fees comprise the Estimated Total UPI Cost </w:t>
            </w:r>
            <w:r w:rsidRPr="002269F8">
              <w:rPr>
                <w:rFonts w:cstheme="minorHAnsi"/>
                <w:lang w:val="en-GB"/>
              </w:rPr>
              <w:t xml:space="preserve">and </w:t>
            </w:r>
            <w:r>
              <w:rPr>
                <w:rFonts w:cstheme="minorHAnsi"/>
                <w:lang w:val="en-GB"/>
              </w:rPr>
              <w:t xml:space="preserve">number of users per fee paying </w:t>
            </w:r>
            <w:r w:rsidR="00F07F21">
              <w:rPr>
                <w:rFonts w:cstheme="minorHAnsi"/>
                <w:lang w:val="en-GB"/>
              </w:rPr>
              <w:t>User Type</w:t>
            </w:r>
            <w:r>
              <w:rPr>
                <w:rFonts w:cstheme="minorHAnsi"/>
                <w:lang w:val="en-GB"/>
              </w:rPr>
              <w:t>.</w:t>
            </w:r>
            <w:r w:rsidRPr="002269F8">
              <w:rPr>
                <w:rFonts w:cstheme="minorHAnsi"/>
                <w:lang w:val="en-GB"/>
              </w:rPr>
              <w:t xml:space="preserve"> </w:t>
            </w:r>
          </w:p>
          <w:p w14:paraId="5B9EFD8F" w14:textId="6E550FCA" w:rsidR="0075262F" w:rsidRDefault="0075262F" w:rsidP="0075262F">
            <w:pPr>
              <w:jc w:val="both"/>
              <w:rPr>
                <w:lang w:val="en-GB"/>
              </w:rPr>
            </w:pPr>
            <w:r w:rsidRPr="00D367BD">
              <w:rPr>
                <w:lang w:val="en-GB"/>
              </w:rPr>
              <w:t xml:space="preserve">In keeping with existing practice for the OTC ISIN </w:t>
            </w:r>
            <w:r>
              <w:rPr>
                <w:lang w:val="en-GB"/>
              </w:rPr>
              <w:t>S</w:t>
            </w:r>
            <w:r w:rsidRPr="00D367BD">
              <w:rPr>
                <w:lang w:val="en-GB"/>
              </w:rPr>
              <w:t>ervice,</w:t>
            </w:r>
            <w:r w:rsidRPr="00E202C9">
              <w:rPr>
                <w:lang w:val="en-GB"/>
              </w:rPr>
              <w:t xml:space="preserve"> </w:t>
            </w:r>
            <w:r>
              <w:rPr>
                <w:lang w:val="en-GB"/>
              </w:rPr>
              <w:t>for a given contractual period, the fee determination is therefore based on an estimation of costs. F</w:t>
            </w:r>
            <w:r w:rsidRPr="00E55E41">
              <w:rPr>
                <w:lang w:val="en-GB"/>
              </w:rPr>
              <w:t>ollowing the audited</w:t>
            </w:r>
            <w:r>
              <w:rPr>
                <w:lang w:val="en-GB"/>
              </w:rPr>
              <w:t xml:space="preserve"> annual</w:t>
            </w:r>
            <w:r w:rsidRPr="00E55E41">
              <w:rPr>
                <w:lang w:val="en-GB"/>
              </w:rPr>
              <w:t xml:space="preserve"> statutory accounts</w:t>
            </w:r>
            <w:r>
              <w:rPr>
                <w:lang w:val="en-GB"/>
              </w:rPr>
              <w:t>,</w:t>
            </w:r>
            <w:r w:rsidDel="0032446D">
              <w:rPr>
                <w:lang w:val="en-GB"/>
              </w:rPr>
              <w:t xml:space="preserve"> </w:t>
            </w:r>
            <w:r>
              <w:rPr>
                <w:lang w:val="en-GB"/>
              </w:rPr>
              <w:t xml:space="preserve">any operational overspend within the </w:t>
            </w:r>
            <w:r w:rsidR="00F07F21">
              <w:rPr>
                <w:lang w:val="en-GB"/>
              </w:rPr>
              <w:t>UPI Service</w:t>
            </w:r>
            <w:r>
              <w:rPr>
                <w:lang w:val="en-GB"/>
              </w:rPr>
              <w:t xml:space="preserve"> is </w:t>
            </w:r>
            <w:r>
              <w:rPr>
                <w:lang w:val="en-GB"/>
              </w:rPr>
              <w:lastRenderedPageBreak/>
              <w:t>netted off by any excess revenue or operational savings, to set the Estimated Total UPI Cost f</w:t>
            </w:r>
            <w:r w:rsidRPr="00E55E41">
              <w:rPr>
                <w:lang w:val="en-GB"/>
              </w:rPr>
              <w:t>or the</w:t>
            </w:r>
            <w:r>
              <w:rPr>
                <w:lang w:val="en-GB"/>
              </w:rPr>
              <w:t xml:space="preserve"> following</w:t>
            </w:r>
            <w:r w:rsidRPr="00E55E41">
              <w:rPr>
                <w:lang w:val="en-GB"/>
              </w:rPr>
              <w:t xml:space="preserve"> contract year</w:t>
            </w:r>
            <w:r>
              <w:rPr>
                <w:lang w:val="en-GB"/>
              </w:rPr>
              <w:t>.</w:t>
            </w:r>
          </w:p>
          <w:p w14:paraId="5958DB51" w14:textId="745240BB" w:rsidR="00202E15" w:rsidRPr="004D2B55" w:rsidRDefault="00202E15" w:rsidP="00D51A8A">
            <w:pPr>
              <w:jc w:val="both"/>
              <w:rPr>
                <w:rStyle w:val="normaltextrun"/>
                <w:rFonts w:cstheme="minorHAnsi"/>
                <w:color w:val="000000"/>
              </w:rPr>
            </w:pPr>
          </w:p>
        </w:tc>
        <w:tc>
          <w:tcPr>
            <w:tcW w:w="4961" w:type="dxa"/>
            <w:vAlign w:val="center"/>
          </w:tcPr>
          <w:p w14:paraId="40E2A67D" w14:textId="77777777" w:rsidR="007758C2" w:rsidRPr="00DB7576" w:rsidRDefault="007758C2" w:rsidP="00F610E2">
            <w:pPr>
              <w:rPr>
                <w:rFonts w:cstheme="minorHAnsi"/>
              </w:rPr>
            </w:pPr>
          </w:p>
        </w:tc>
      </w:tr>
      <w:tr w:rsidR="007625FD" w:rsidRPr="00DB7576" w14:paraId="612F013F" w14:textId="77777777" w:rsidTr="00307739">
        <w:trPr>
          <w:trHeight w:val="1134"/>
        </w:trPr>
        <w:tc>
          <w:tcPr>
            <w:tcW w:w="704" w:type="dxa"/>
            <w:vAlign w:val="center"/>
          </w:tcPr>
          <w:p w14:paraId="066009D4" w14:textId="078C7DDA" w:rsidR="007625FD" w:rsidRDefault="007625FD" w:rsidP="00EB317C">
            <w:pPr>
              <w:rPr>
                <w:rFonts w:cstheme="minorHAnsi"/>
              </w:rPr>
            </w:pPr>
            <w:r>
              <w:rPr>
                <w:rFonts w:cstheme="minorHAnsi"/>
              </w:rPr>
              <w:t>1</w:t>
            </w:r>
            <w:r>
              <w:t>1</w:t>
            </w:r>
            <w:r w:rsidR="002D3DA3">
              <w:t>a</w:t>
            </w:r>
          </w:p>
        </w:tc>
        <w:tc>
          <w:tcPr>
            <w:tcW w:w="7938" w:type="dxa"/>
            <w:vAlign w:val="center"/>
          </w:tcPr>
          <w:p w14:paraId="28C53C97" w14:textId="21810B03" w:rsidR="0075262F" w:rsidRPr="00D51A8A" w:rsidRDefault="0075262F" w:rsidP="0075262F">
            <w:pPr>
              <w:jc w:val="both"/>
              <w:rPr>
                <w:rStyle w:val="normaltextrun"/>
                <w:rFonts w:cstheme="minorHAnsi"/>
                <w:color w:val="000000"/>
              </w:rPr>
            </w:pPr>
            <w:r w:rsidRPr="00D51A8A">
              <w:rPr>
                <w:rStyle w:val="normaltextrun"/>
                <w:rFonts w:cstheme="minorHAnsi"/>
                <w:color w:val="000000"/>
              </w:rPr>
              <w:t xml:space="preserve">Do you agree that it is appropriate to apply the same approach to the Fee Model Variables as used for the OTC </w:t>
            </w:r>
            <w:r w:rsidR="00F07F21">
              <w:rPr>
                <w:rStyle w:val="normaltextrun"/>
                <w:rFonts w:cstheme="minorHAnsi"/>
                <w:color w:val="000000"/>
              </w:rPr>
              <w:t>ISIN Service</w:t>
            </w:r>
            <w:r w:rsidRPr="00D51A8A">
              <w:rPr>
                <w:rStyle w:val="normaltextrun"/>
                <w:rFonts w:cstheme="minorHAnsi"/>
                <w:color w:val="000000"/>
              </w:rPr>
              <w:t xml:space="preserve"> for the UPI Service?</w:t>
            </w:r>
          </w:p>
          <w:p w14:paraId="2D65AF7B" w14:textId="3A5442E5" w:rsidR="007625FD" w:rsidRPr="0075262F" w:rsidRDefault="007625FD" w:rsidP="00EB317C">
            <w:pPr>
              <w:rPr>
                <w:rStyle w:val="normaltextrun"/>
                <w:rFonts w:cstheme="minorHAnsi"/>
                <w:color w:val="000000"/>
              </w:rPr>
            </w:pPr>
          </w:p>
        </w:tc>
        <w:tc>
          <w:tcPr>
            <w:tcW w:w="4961" w:type="dxa"/>
            <w:vAlign w:val="center"/>
          </w:tcPr>
          <w:p w14:paraId="3109D4A1" w14:textId="77777777" w:rsidR="007625FD" w:rsidRPr="00DB7576" w:rsidRDefault="007625FD" w:rsidP="00EB317C">
            <w:pPr>
              <w:rPr>
                <w:rFonts w:cstheme="minorHAnsi"/>
              </w:rPr>
            </w:pPr>
          </w:p>
        </w:tc>
      </w:tr>
      <w:tr w:rsidR="002D3DA3" w:rsidRPr="00DB7576" w14:paraId="4E666FF3" w14:textId="77777777" w:rsidTr="00307739">
        <w:trPr>
          <w:trHeight w:val="1134"/>
        </w:trPr>
        <w:tc>
          <w:tcPr>
            <w:tcW w:w="704" w:type="dxa"/>
            <w:vAlign w:val="center"/>
          </w:tcPr>
          <w:p w14:paraId="7DDD477B" w14:textId="63AFD871" w:rsidR="002D3DA3" w:rsidRDefault="002D3DA3" w:rsidP="00F610E2">
            <w:pPr>
              <w:rPr>
                <w:rFonts w:cstheme="minorHAnsi"/>
              </w:rPr>
            </w:pPr>
            <w:r>
              <w:rPr>
                <w:rFonts w:cstheme="minorHAnsi"/>
              </w:rPr>
              <w:t>11b</w:t>
            </w:r>
          </w:p>
        </w:tc>
        <w:tc>
          <w:tcPr>
            <w:tcW w:w="7938" w:type="dxa"/>
            <w:vAlign w:val="center"/>
          </w:tcPr>
          <w:p w14:paraId="2D0C46ED" w14:textId="5011102E" w:rsidR="002D3DA3" w:rsidRPr="004D2B55" w:rsidRDefault="008C5DCE" w:rsidP="00F610E2">
            <w:pPr>
              <w:rPr>
                <w:rStyle w:val="normaltextrun"/>
                <w:rFonts w:cstheme="minorHAnsi"/>
                <w:color w:val="000000"/>
              </w:rPr>
            </w:pPr>
            <w:r w:rsidRPr="00D51A8A">
              <w:rPr>
                <w:rStyle w:val="normaltextrun"/>
                <w:rFonts w:cstheme="minorHAnsi"/>
                <w:color w:val="000000"/>
              </w:rPr>
              <w:t>If not, what specific alternate approach do you recommend? Please provide a clear and objective rationale for each alternate approach you recommend.</w:t>
            </w:r>
          </w:p>
        </w:tc>
        <w:tc>
          <w:tcPr>
            <w:tcW w:w="4961" w:type="dxa"/>
            <w:vAlign w:val="center"/>
          </w:tcPr>
          <w:p w14:paraId="4B09B4B5" w14:textId="77777777" w:rsidR="002D3DA3" w:rsidRPr="00DB7576" w:rsidRDefault="002D3DA3" w:rsidP="00F610E2">
            <w:pPr>
              <w:rPr>
                <w:rFonts w:cstheme="minorHAnsi"/>
              </w:rPr>
            </w:pPr>
          </w:p>
        </w:tc>
      </w:tr>
      <w:tr w:rsidR="008C5DCE" w:rsidRPr="00DB7576" w14:paraId="79C30BE6" w14:textId="77777777" w:rsidTr="00307739">
        <w:trPr>
          <w:trHeight w:val="1134"/>
        </w:trPr>
        <w:tc>
          <w:tcPr>
            <w:tcW w:w="704" w:type="dxa"/>
            <w:vAlign w:val="center"/>
          </w:tcPr>
          <w:p w14:paraId="01F50A89" w14:textId="6FE2983D" w:rsidR="008C5DCE" w:rsidRDefault="008C5DCE" w:rsidP="00F610E2">
            <w:pPr>
              <w:rPr>
                <w:rFonts w:cstheme="minorHAnsi"/>
              </w:rPr>
            </w:pPr>
            <w:r>
              <w:rPr>
                <w:rFonts w:cstheme="minorHAnsi"/>
              </w:rPr>
              <w:t>12</w:t>
            </w:r>
          </w:p>
        </w:tc>
        <w:tc>
          <w:tcPr>
            <w:tcW w:w="7938" w:type="dxa"/>
            <w:vAlign w:val="center"/>
          </w:tcPr>
          <w:p w14:paraId="4454C784" w14:textId="77777777" w:rsidR="00C665D7" w:rsidRPr="00D51A8A" w:rsidRDefault="00C665D7" w:rsidP="00C665D7">
            <w:pPr>
              <w:spacing w:after="160" w:line="259" w:lineRule="auto"/>
              <w:rPr>
                <w:b/>
                <w:bCs/>
              </w:rPr>
            </w:pPr>
            <w:r w:rsidRPr="00D51A8A">
              <w:rPr>
                <w:b/>
                <w:bCs/>
              </w:rPr>
              <w:t xml:space="preserve">Intellectual Property &amp; Limitation of Liability </w:t>
            </w:r>
          </w:p>
          <w:p w14:paraId="0310E8D0" w14:textId="77777777" w:rsidR="00C665D7" w:rsidRPr="004D2B55" w:rsidRDefault="00C665D7" w:rsidP="00C665D7">
            <w:pPr>
              <w:rPr>
                <w:rStyle w:val="normaltextrun"/>
              </w:rPr>
            </w:pPr>
            <w:r w:rsidRPr="004D2B55">
              <w:rPr>
                <w:lang w:val="en-GB"/>
              </w:rPr>
              <w:t>The existing protections relating to Intellectual Property and Limitation of Liability will be extended to cover the UPI Service, and an equivalent set of measures included in the contractual information for the COSP.</w:t>
            </w:r>
          </w:p>
          <w:p w14:paraId="30A1D8C0" w14:textId="77777777" w:rsidR="008C5DCE" w:rsidRPr="004D2B55" w:rsidRDefault="008C5DCE" w:rsidP="00F610E2">
            <w:pPr>
              <w:rPr>
                <w:rStyle w:val="normaltextrun"/>
                <w:rFonts w:cstheme="minorHAnsi"/>
                <w:color w:val="000000"/>
              </w:rPr>
            </w:pPr>
          </w:p>
        </w:tc>
        <w:tc>
          <w:tcPr>
            <w:tcW w:w="4961" w:type="dxa"/>
            <w:vAlign w:val="center"/>
          </w:tcPr>
          <w:p w14:paraId="4C051352" w14:textId="77777777" w:rsidR="008C5DCE" w:rsidRPr="00DB7576" w:rsidRDefault="008C5DCE" w:rsidP="00F610E2">
            <w:pPr>
              <w:rPr>
                <w:rFonts w:cstheme="minorHAnsi"/>
              </w:rPr>
            </w:pPr>
          </w:p>
        </w:tc>
      </w:tr>
      <w:tr w:rsidR="007625FD" w:rsidRPr="00DB7576" w14:paraId="37068CAB" w14:textId="77777777" w:rsidTr="00307739">
        <w:trPr>
          <w:trHeight w:val="1134"/>
        </w:trPr>
        <w:tc>
          <w:tcPr>
            <w:tcW w:w="704" w:type="dxa"/>
            <w:vAlign w:val="center"/>
          </w:tcPr>
          <w:p w14:paraId="634FC924" w14:textId="77777777" w:rsidR="007625FD" w:rsidRDefault="007625FD" w:rsidP="00EB317C">
            <w:pPr>
              <w:rPr>
                <w:rFonts w:cstheme="minorHAnsi"/>
              </w:rPr>
            </w:pPr>
            <w:r>
              <w:rPr>
                <w:rFonts w:cstheme="minorHAnsi"/>
              </w:rPr>
              <w:t>12a</w:t>
            </w:r>
          </w:p>
        </w:tc>
        <w:tc>
          <w:tcPr>
            <w:tcW w:w="7938" w:type="dxa"/>
            <w:vAlign w:val="center"/>
          </w:tcPr>
          <w:p w14:paraId="06E46291" w14:textId="3A6BD5F7" w:rsidR="007625FD" w:rsidRPr="00D367BD" w:rsidRDefault="0090443F" w:rsidP="00EB317C">
            <w:pPr>
              <w:rPr>
                <w:rStyle w:val="normaltextrun"/>
                <w:rFonts w:cstheme="minorHAnsi"/>
                <w:color w:val="000000"/>
              </w:rPr>
            </w:pPr>
            <w:r w:rsidRPr="00D51A8A">
              <w:rPr>
                <w:rStyle w:val="normaltextrun"/>
                <w:rFonts w:cstheme="minorHAnsi"/>
                <w:color w:val="000000"/>
              </w:rPr>
              <w:t>Do you agree that it is appropriate to extend the clauses relating to Intellectual Property and Limitation of Liability to the UPI Service, in the appropriate documentation?</w:t>
            </w:r>
          </w:p>
        </w:tc>
        <w:tc>
          <w:tcPr>
            <w:tcW w:w="4961" w:type="dxa"/>
            <w:vAlign w:val="center"/>
          </w:tcPr>
          <w:p w14:paraId="02A60B27" w14:textId="77777777" w:rsidR="007625FD" w:rsidRPr="00DB7576" w:rsidRDefault="007625FD" w:rsidP="00EB317C">
            <w:pPr>
              <w:rPr>
                <w:rFonts w:cstheme="minorHAnsi"/>
              </w:rPr>
            </w:pPr>
          </w:p>
        </w:tc>
      </w:tr>
      <w:tr w:rsidR="007625FD" w:rsidRPr="00DB7576" w14:paraId="3EFB95CD" w14:textId="77777777" w:rsidTr="00307739">
        <w:trPr>
          <w:trHeight w:val="1134"/>
        </w:trPr>
        <w:tc>
          <w:tcPr>
            <w:tcW w:w="704" w:type="dxa"/>
            <w:vAlign w:val="center"/>
          </w:tcPr>
          <w:p w14:paraId="114F4A21" w14:textId="77777777" w:rsidR="007625FD" w:rsidRDefault="007625FD" w:rsidP="00EB317C">
            <w:pPr>
              <w:rPr>
                <w:rFonts w:cstheme="minorHAnsi"/>
              </w:rPr>
            </w:pPr>
            <w:r>
              <w:rPr>
                <w:rFonts w:cstheme="minorHAnsi"/>
              </w:rPr>
              <w:t>1</w:t>
            </w:r>
            <w:r>
              <w:t>2b</w:t>
            </w:r>
          </w:p>
        </w:tc>
        <w:tc>
          <w:tcPr>
            <w:tcW w:w="7938" w:type="dxa"/>
            <w:vAlign w:val="center"/>
          </w:tcPr>
          <w:p w14:paraId="29DB7B7A" w14:textId="0BB854B2" w:rsidR="007625FD" w:rsidRPr="00D367BD" w:rsidRDefault="007625FD" w:rsidP="00EB317C">
            <w:pPr>
              <w:rPr>
                <w:rStyle w:val="normaltextrun"/>
                <w:rFonts w:cstheme="minorHAnsi"/>
                <w:color w:val="000000"/>
              </w:rPr>
            </w:pPr>
            <w:r w:rsidRPr="00F610E2">
              <w:rPr>
                <w:rStyle w:val="normaltextrun"/>
                <w:rFonts w:cstheme="minorHAnsi"/>
                <w:color w:val="000000"/>
              </w:rPr>
              <w:t xml:space="preserve">If not, what specific alternate approach do you recommend? </w:t>
            </w:r>
            <w:r w:rsidR="00AA4AB4" w:rsidRPr="00D51A8A">
              <w:rPr>
                <w:rStyle w:val="normaltextrun"/>
                <w:rFonts w:cstheme="minorHAnsi"/>
                <w:color w:val="000000"/>
              </w:rPr>
              <w:t>Please provide a clear and objective rationale for each alternate approach you recommend.</w:t>
            </w:r>
          </w:p>
        </w:tc>
        <w:tc>
          <w:tcPr>
            <w:tcW w:w="4961" w:type="dxa"/>
            <w:vAlign w:val="center"/>
          </w:tcPr>
          <w:p w14:paraId="641CC698" w14:textId="77777777" w:rsidR="007625FD" w:rsidRPr="00DB7576" w:rsidRDefault="007625FD" w:rsidP="00EB317C">
            <w:pPr>
              <w:rPr>
                <w:rFonts w:cstheme="minorHAnsi"/>
              </w:rPr>
            </w:pPr>
          </w:p>
        </w:tc>
      </w:tr>
      <w:tr w:rsidR="00AA4AB4" w:rsidRPr="00DB7576" w14:paraId="490B7ED3" w14:textId="77777777" w:rsidTr="00307739">
        <w:trPr>
          <w:trHeight w:val="1134"/>
        </w:trPr>
        <w:tc>
          <w:tcPr>
            <w:tcW w:w="704" w:type="dxa"/>
            <w:vAlign w:val="center"/>
          </w:tcPr>
          <w:p w14:paraId="3444664F" w14:textId="0A30CD26" w:rsidR="00AA4AB4" w:rsidRDefault="00AA4AB4" w:rsidP="00F610E2">
            <w:pPr>
              <w:rPr>
                <w:rFonts w:cstheme="minorHAnsi"/>
              </w:rPr>
            </w:pPr>
            <w:r>
              <w:rPr>
                <w:rFonts w:cstheme="minorHAnsi"/>
              </w:rPr>
              <w:t>13</w:t>
            </w:r>
          </w:p>
        </w:tc>
        <w:tc>
          <w:tcPr>
            <w:tcW w:w="7938" w:type="dxa"/>
            <w:vAlign w:val="center"/>
          </w:tcPr>
          <w:p w14:paraId="2F8CFF9D" w14:textId="77777777" w:rsidR="0027509F" w:rsidRPr="00D51A8A" w:rsidRDefault="0027509F" w:rsidP="0027509F">
            <w:pPr>
              <w:spacing w:after="160" w:line="259" w:lineRule="auto"/>
              <w:rPr>
                <w:b/>
                <w:bCs/>
              </w:rPr>
            </w:pPr>
            <w:r w:rsidRPr="00D51A8A">
              <w:rPr>
                <w:b/>
                <w:bCs/>
              </w:rPr>
              <w:t>Contingency Arrangements</w:t>
            </w:r>
          </w:p>
          <w:p w14:paraId="4169CA60" w14:textId="31FB76E9" w:rsidR="008B7E84" w:rsidRDefault="008B7E84" w:rsidP="008B7E84">
            <w:pPr>
              <w:jc w:val="both"/>
              <w:rPr>
                <w:lang w:val="en-GB"/>
              </w:rPr>
            </w:pPr>
            <w:r>
              <w:t xml:space="preserve">The DSB </w:t>
            </w:r>
            <w:proofErr w:type="spellStart"/>
            <w:r>
              <w:t>recognises</w:t>
            </w:r>
            <w:proofErr w:type="spellEnd"/>
            <w:r>
              <w:t xml:space="preserve"> the need for contingency arrangements to cater for the exceptional scenario of transfer of the UPI Service to another Service Provider</w:t>
            </w:r>
            <w:r w:rsidDel="0053594D">
              <w:rPr>
                <w:lang w:val="en-GB"/>
              </w:rPr>
              <w:t xml:space="preserve"> </w:t>
            </w:r>
            <w:r w:rsidR="001F151F">
              <w:rPr>
                <w:lang w:val="en-GB"/>
              </w:rPr>
              <w:t>e.g.,</w:t>
            </w:r>
            <w:r>
              <w:rPr>
                <w:lang w:val="en-GB"/>
              </w:rPr>
              <w:t xml:space="preserve"> linked to de-designation of the DSB. </w:t>
            </w:r>
          </w:p>
          <w:p w14:paraId="4830504B" w14:textId="77777777" w:rsidR="008B7E84" w:rsidRDefault="008B7E84" w:rsidP="008B7E84">
            <w:pPr>
              <w:jc w:val="both"/>
              <w:rPr>
                <w:lang w:val="en-GB"/>
              </w:rPr>
            </w:pPr>
          </w:p>
          <w:p w14:paraId="12859D38" w14:textId="77777777" w:rsidR="008B7E84" w:rsidRPr="002E73D3" w:rsidRDefault="008B7E84" w:rsidP="008B7E84">
            <w:pPr>
              <w:jc w:val="both"/>
              <w:rPr>
                <w:rStyle w:val="normaltextrun"/>
                <w:lang w:val="en-GB"/>
              </w:rPr>
            </w:pPr>
            <w:r>
              <w:rPr>
                <w:lang w:val="en-GB"/>
              </w:rPr>
              <w:lastRenderedPageBreak/>
              <w:t>The DSB’s legal documentation will be updated to include explicit provision(s) that give the DSB permission to transfer this client data to a new UPI Service Provider in a contingency scenario.</w:t>
            </w:r>
          </w:p>
          <w:p w14:paraId="3F15A8E2" w14:textId="77777777" w:rsidR="00AA4AB4" w:rsidRPr="004D2B55" w:rsidRDefault="00AA4AB4" w:rsidP="00F610E2">
            <w:pPr>
              <w:rPr>
                <w:rStyle w:val="eop"/>
                <w:rFonts w:cstheme="minorHAnsi"/>
              </w:rPr>
            </w:pPr>
          </w:p>
        </w:tc>
        <w:tc>
          <w:tcPr>
            <w:tcW w:w="4961" w:type="dxa"/>
            <w:vAlign w:val="center"/>
          </w:tcPr>
          <w:p w14:paraId="3CFCCB2E" w14:textId="77777777" w:rsidR="00AA4AB4" w:rsidRPr="00DB7576" w:rsidRDefault="00AA4AB4" w:rsidP="00F610E2">
            <w:pPr>
              <w:rPr>
                <w:rFonts w:cstheme="minorHAnsi"/>
              </w:rPr>
            </w:pPr>
          </w:p>
        </w:tc>
      </w:tr>
      <w:tr w:rsidR="00AA4AB4" w:rsidRPr="00DB7576" w14:paraId="2221EFE1" w14:textId="77777777" w:rsidTr="00307739">
        <w:trPr>
          <w:trHeight w:val="1134"/>
        </w:trPr>
        <w:tc>
          <w:tcPr>
            <w:tcW w:w="704" w:type="dxa"/>
            <w:vAlign w:val="center"/>
          </w:tcPr>
          <w:p w14:paraId="393D9C8E" w14:textId="007336CB" w:rsidR="00AA4AB4" w:rsidRDefault="0027509F" w:rsidP="00F610E2">
            <w:pPr>
              <w:rPr>
                <w:rFonts w:cstheme="minorHAnsi"/>
              </w:rPr>
            </w:pPr>
            <w:r>
              <w:rPr>
                <w:rFonts w:cstheme="minorHAnsi"/>
              </w:rPr>
              <w:t>13a</w:t>
            </w:r>
          </w:p>
        </w:tc>
        <w:tc>
          <w:tcPr>
            <w:tcW w:w="7938" w:type="dxa"/>
            <w:vAlign w:val="center"/>
          </w:tcPr>
          <w:p w14:paraId="0BABCC74" w14:textId="2FF4934E" w:rsidR="00AA4AB4" w:rsidRPr="004D2B55" w:rsidRDefault="004B46A6" w:rsidP="00F610E2">
            <w:pPr>
              <w:rPr>
                <w:rStyle w:val="eop"/>
                <w:rFonts w:cstheme="minorHAnsi"/>
              </w:rPr>
            </w:pPr>
            <w:r w:rsidRPr="00D51A8A">
              <w:rPr>
                <w:rStyle w:val="normaltextrun"/>
                <w:rFonts w:cstheme="minorHAnsi"/>
                <w:color w:val="000000"/>
              </w:rPr>
              <w:t>Do you agree that it is appropriate to include new clause(s) to permit the DSB to transfer client data in the case of a contingency scenario?</w:t>
            </w:r>
          </w:p>
        </w:tc>
        <w:tc>
          <w:tcPr>
            <w:tcW w:w="4961" w:type="dxa"/>
            <w:vAlign w:val="center"/>
          </w:tcPr>
          <w:p w14:paraId="58CF41F3" w14:textId="77777777" w:rsidR="00AA4AB4" w:rsidRPr="00DB7576" w:rsidRDefault="00AA4AB4" w:rsidP="00F610E2">
            <w:pPr>
              <w:rPr>
                <w:rFonts w:cstheme="minorHAnsi"/>
              </w:rPr>
            </w:pPr>
          </w:p>
        </w:tc>
      </w:tr>
      <w:tr w:rsidR="00AA4AB4" w:rsidRPr="00DB7576" w14:paraId="2CA0DECE" w14:textId="77777777" w:rsidTr="00307739">
        <w:trPr>
          <w:trHeight w:val="1134"/>
        </w:trPr>
        <w:tc>
          <w:tcPr>
            <w:tcW w:w="704" w:type="dxa"/>
            <w:vAlign w:val="center"/>
          </w:tcPr>
          <w:p w14:paraId="0DCF014B" w14:textId="2D6DB6F9" w:rsidR="00AA4AB4" w:rsidRDefault="004B46A6" w:rsidP="00F610E2">
            <w:pPr>
              <w:rPr>
                <w:rFonts w:cstheme="minorHAnsi"/>
              </w:rPr>
            </w:pPr>
            <w:r>
              <w:rPr>
                <w:rFonts w:cstheme="minorHAnsi"/>
              </w:rPr>
              <w:t>13b</w:t>
            </w:r>
          </w:p>
        </w:tc>
        <w:tc>
          <w:tcPr>
            <w:tcW w:w="7938" w:type="dxa"/>
            <w:vAlign w:val="center"/>
          </w:tcPr>
          <w:p w14:paraId="597152BE" w14:textId="4D4F7018" w:rsidR="00AA4AB4" w:rsidRPr="004D2B55" w:rsidRDefault="00EB4B27" w:rsidP="00F610E2">
            <w:pPr>
              <w:rPr>
                <w:rStyle w:val="eop"/>
                <w:rFonts w:cstheme="minorHAnsi"/>
              </w:rPr>
            </w:pPr>
            <w:r w:rsidRPr="00D51A8A">
              <w:rPr>
                <w:rStyle w:val="normaltextrun"/>
                <w:rFonts w:cstheme="minorHAnsi"/>
                <w:color w:val="000000"/>
              </w:rPr>
              <w:t>If not, what specific alternate approach do you recommend? Please provide a clear and objective rationale for each alternate approach you recommend.</w:t>
            </w:r>
          </w:p>
        </w:tc>
        <w:tc>
          <w:tcPr>
            <w:tcW w:w="4961" w:type="dxa"/>
            <w:vAlign w:val="center"/>
          </w:tcPr>
          <w:p w14:paraId="6B801B36" w14:textId="77777777" w:rsidR="00AA4AB4" w:rsidRPr="00DB7576" w:rsidRDefault="00AA4AB4" w:rsidP="00F610E2">
            <w:pPr>
              <w:rPr>
                <w:rFonts w:cstheme="minorHAnsi"/>
              </w:rPr>
            </w:pPr>
          </w:p>
        </w:tc>
      </w:tr>
      <w:tr w:rsidR="007625FD" w:rsidRPr="00DB7576" w14:paraId="682EDA27" w14:textId="77777777" w:rsidTr="00307739">
        <w:trPr>
          <w:trHeight w:val="1134"/>
        </w:trPr>
        <w:tc>
          <w:tcPr>
            <w:tcW w:w="704" w:type="dxa"/>
            <w:vAlign w:val="center"/>
          </w:tcPr>
          <w:p w14:paraId="54AEB87B" w14:textId="77777777" w:rsidR="007625FD" w:rsidRDefault="007625FD" w:rsidP="00EB317C">
            <w:pPr>
              <w:rPr>
                <w:rFonts w:cstheme="minorHAnsi"/>
              </w:rPr>
            </w:pPr>
          </w:p>
        </w:tc>
        <w:tc>
          <w:tcPr>
            <w:tcW w:w="7938" w:type="dxa"/>
            <w:vAlign w:val="center"/>
          </w:tcPr>
          <w:p w14:paraId="4DE82CCF" w14:textId="77777777" w:rsidR="007625FD" w:rsidRPr="00D367BD" w:rsidRDefault="007625FD" w:rsidP="00EB317C">
            <w:pPr>
              <w:rPr>
                <w:rStyle w:val="normaltextrun"/>
                <w:rFonts w:cstheme="minorHAnsi"/>
                <w:color w:val="000000"/>
              </w:rPr>
            </w:pPr>
            <w:r w:rsidRPr="00C7049B">
              <w:rPr>
                <w:rStyle w:val="eop"/>
                <w:rFonts w:cstheme="minorHAnsi"/>
              </w:rPr>
              <w:t>Please use this space for any other comments you wish to provide.</w:t>
            </w:r>
          </w:p>
        </w:tc>
        <w:tc>
          <w:tcPr>
            <w:tcW w:w="4961" w:type="dxa"/>
            <w:vAlign w:val="center"/>
          </w:tcPr>
          <w:p w14:paraId="5F0BF124" w14:textId="77777777" w:rsidR="007625FD" w:rsidRPr="00DB7576" w:rsidRDefault="007625FD" w:rsidP="00EB317C">
            <w:pPr>
              <w:rPr>
                <w:rFonts w:cstheme="minorHAnsi"/>
              </w:rPr>
            </w:pPr>
          </w:p>
        </w:tc>
      </w:tr>
    </w:tbl>
    <w:p w14:paraId="6873EF78" w14:textId="77777777" w:rsidR="007625FD" w:rsidRDefault="007625FD" w:rsidP="007625FD">
      <w:pPr>
        <w:jc w:val="both"/>
        <w:rPr>
          <w:rFonts w:asciiTheme="majorHAnsi" w:eastAsiaTheme="majorEastAsia" w:hAnsiTheme="majorHAnsi" w:cstheme="majorBidi"/>
          <w:color w:val="30AEB9"/>
          <w:sz w:val="32"/>
          <w:szCs w:val="32"/>
        </w:rPr>
      </w:pPr>
    </w:p>
    <w:bookmarkEnd w:id="2"/>
    <w:bookmarkEnd w:id="3"/>
    <w:bookmarkEnd w:id="4"/>
    <w:p w14:paraId="42B6BE9D" w14:textId="77777777" w:rsidR="007625FD" w:rsidRPr="000876F3" w:rsidRDefault="007625FD" w:rsidP="007625FD">
      <w:pPr>
        <w:rPr>
          <w:rFonts w:asciiTheme="majorHAnsi" w:hAnsiTheme="majorHAnsi"/>
          <w:color w:val="365F91" w:themeColor="accent1" w:themeShade="BF"/>
          <w:sz w:val="32"/>
        </w:rPr>
      </w:pPr>
    </w:p>
    <w:p w14:paraId="48BD17D1" w14:textId="77777777" w:rsidR="003939DE" w:rsidRPr="00F73E49" w:rsidRDefault="003939DE" w:rsidP="00503BE5">
      <w:pPr>
        <w:rPr>
          <w:rFonts w:ascii="Times New Roman" w:eastAsia="MS Mincho" w:hAnsi="Times New Roman" w:cs="Times New Roman"/>
          <w:b/>
        </w:rPr>
      </w:pPr>
    </w:p>
    <w:sectPr w:rsidR="003939DE" w:rsidRPr="00F73E49" w:rsidSect="00434A03">
      <w:pgSz w:w="15840" w:h="12240" w:orient="landscape"/>
      <w:pgMar w:top="1440" w:right="1440" w:bottom="1135"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9DA4F" w14:textId="77777777" w:rsidR="000D17A2" w:rsidRDefault="000D17A2" w:rsidP="006308B0">
      <w:pPr>
        <w:spacing w:after="0" w:line="240" w:lineRule="auto"/>
      </w:pPr>
      <w:r>
        <w:separator/>
      </w:r>
    </w:p>
  </w:endnote>
  <w:endnote w:type="continuationSeparator" w:id="0">
    <w:p w14:paraId="348A9062" w14:textId="77777777" w:rsidR="000D17A2" w:rsidRDefault="000D17A2" w:rsidP="006308B0">
      <w:pPr>
        <w:spacing w:after="0" w:line="240" w:lineRule="auto"/>
      </w:pPr>
      <w:r>
        <w:continuationSeparator/>
      </w:r>
    </w:p>
  </w:endnote>
  <w:endnote w:type="continuationNotice" w:id="1">
    <w:p w14:paraId="03A742BB" w14:textId="77777777" w:rsidR="000D17A2" w:rsidRDefault="000D17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000C1" w14:textId="0A0CF4DD" w:rsidR="00B51255" w:rsidRDefault="00B51255" w:rsidP="00B51255">
    <w:pPr>
      <w:pStyle w:val="Footer"/>
      <w:rPr>
        <w:color w:val="000000" w:themeColor="text1"/>
        <w:sz w:val="18"/>
      </w:rPr>
    </w:pPr>
    <w:r>
      <w:rPr>
        <w:color w:val="000000" w:themeColor="text1"/>
        <w:sz w:val="18"/>
      </w:rPr>
      <w:t xml:space="preserve">        </w:t>
    </w:r>
  </w:p>
  <w:p w14:paraId="145B1736" w14:textId="0BF73FD5" w:rsidR="00C460AB" w:rsidRDefault="005C416F" w:rsidP="00B51255">
    <w:pPr>
      <w:pStyle w:val="Footer"/>
    </w:pPr>
    <w:r w:rsidRPr="001630DD">
      <w:rPr>
        <w:color w:val="000000" w:themeColor="text1"/>
        <w:sz w:val="18"/>
      </w:rPr>
      <w:t>©DSB 20</w:t>
    </w:r>
    <w:r>
      <w:rPr>
        <w:color w:val="000000" w:themeColor="text1"/>
        <w:sz w:val="18"/>
      </w:rPr>
      <w:t>21</w:t>
    </w:r>
    <w:r w:rsidR="00B51255">
      <w:rPr>
        <w:color w:val="000000" w:themeColor="text1"/>
        <w:sz w:val="18"/>
      </w:rPr>
      <w:t xml:space="preserve">  </w:t>
    </w:r>
    <w:r>
      <w:rPr>
        <w:color w:val="000000" w:themeColor="text1"/>
        <w:sz w:val="18"/>
      </w:rPr>
      <w:t xml:space="preserve">     </w:t>
    </w:r>
    <w:r w:rsidR="00C460AB">
      <w:rPr>
        <w:color w:val="000000" w:themeColor="text1"/>
        <w:sz w:val="18"/>
      </w:rPr>
      <w:t xml:space="preserve">                                                          </w:t>
    </w:r>
    <w:r w:rsidRPr="00DE3556">
      <w:rPr>
        <w:color w:val="000000" w:themeColor="text1"/>
        <w:sz w:val="18"/>
      </w:rPr>
      <w:t>UPI Legal Consultation – response</w:t>
    </w:r>
    <w:r w:rsidR="00B51255">
      <w:rPr>
        <w:color w:val="000000" w:themeColor="text1"/>
        <w:sz w:val="18"/>
      </w:rPr>
      <w:t xml:space="preserve"> </w:t>
    </w:r>
  </w:p>
  <w:p w14:paraId="62AD9693" w14:textId="1F7889B9" w:rsidR="00B51255" w:rsidRDefault="00C460AB" w:rsidP="00B51255">
    <w:pPr>
      <w:pStyle w:val="Footer"/>
    </w:pPr>
    <w:r>
      <w:t xml:space="preserve">                                                                      </w:t>
    </w:r>
    <w:r w:rsidR="00963808">
      <w:rPr>
        <w:color w:val="000000" w:themeColor="text1"/>
        <w:sz w:val="18"/>
      </w:rPr>
      <w:t>d</w:t>
    </w:r>
    <w:r w:rsidR="005C416F" w:rsidRPr="00DE3556">
      <w:rPr>
        <w:color w:val="000000" w:themeColor="text1"/>
        <w:sz w:val="18"/>
      </w:rPr>
      <w:t>eadl</w:t>
    </w:r>
    <w:r w:rsidR="005C416F">
      <w:rPr>
        <w:color w:val="000000" w:themeColor="text1"/>
        <w:sz w:val="18"/>
      </w:rPr>
      <w:t>ine</w:t>
    </w:r>
    <w:r w:rsidR="00963808">
      <w:rPr>
        <w:color w:val="000000" w:themeColor="text1"/>
        <w:sz w:val="18"/>
      </w:rPr>
      <w:t xml:space="preserve"> -</w:t>
    </w:r>
    <w:r w:rsidR="005C416F">
      <w:rPr>
        <w:color w:val="000000" w:themeColor="text1"/>
        <w:sz w:val="18"/>
      </w:rPr>
      <w:t xml:space="preserve"> 5pm UTC 19 January 2022</w:t>
    </w:r>
    <w:r>
      <w:t xml:space="preserve">                  </w:t>
    </w:r>
    <w:r w:rsidR="00DF377A">
      <w:t xml:space="preserve">     </w:t>
    </w:r>
    <w:r>
      <w:t xml:space="preserve">                     </w:t>
    </w:r>
    <w:r w:rsidR="00096B9C">
      <w:tab/>
    </w:r>
    <w:r>
      <w:t xml:space="preserve">  </w:t>
    </w:r>
    <w:r w:rsidR="00681612" w:rsidRPr="00AB34ED">
      <w:rPr>
        <w:sz w:val="18"/>
        <w:szCs w:val="18"/>
      </w:rPr>
      <w:t>Page</w:t>
    </w:r>
    <w:r w:rsidR="00681612">
      <w:t xml:space="preserve"> | </w:t>
    </w:r>
    <w:r w:rsidR="00681612" w:rsidRPr="00AB34ED">
      <w:rPr>
        <w:sz w:val="18"/>
        <w:szCs w:val="18"/>
      </w:rPr>
      <w:fldChar w:fldCharType="begin"/>
    </w:r>
    <w:r w:rsidR="00681612" w:rsidRPr="00AB34ED">
      <w:rPr>
        <w:sz w:val="18"/>
        <w:szCs w:val="18"/>
      </w:rPr>
      <w:instrText xml:space="preserve"> PAGE   \* MERGEFORMAT </w:instrText>
    </w:r>
    <w:r w:rsidR="00681612" w:rsidRPr="00AB34ED">
      <w:rPr>
        <w:sz w:val="18"/>
        <w:szCs w:val="18"/>
      </w:rPr>
      <w:fldChar w:fldCharType="separate"/>
    </w:r>
    <w:r w:rsidR="00681612" w:rsidRPr="00AB34ED">
      <w:rPr>
        <w:noProof/>
        <w:sz w:val="18"/>
        <w:szCs w:val="18"/>
      </w:rPr>
      <w:t>1</w:t>
    </w:r>
    <w:r w:rsidR="00681612" w:rsidRPr="00AB34ED">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C2667" w14:textId="7CF580D9" w:rsidR="00A97A3B" w:rsidRDefault="008F23C1">
    <w:pPr>
      <w:pStyle w:val="Footer"/>
      <w:rPr>
        <w:color w:val="000000" w:themeColor="text1"/>
        <w:sz w:val="18"/>
      </w:rPr>
    </w:pPr>
    <w:r w:rsidRPr="001630DD">
      <w:rPr>
        <w:color w:val="000000" w:themeColor="text1"/>
        <w:sz w:val="18"/>
      </w:rPr>
      <w:t>©DSB 20</w:t>
    </w:r>
    <w:r>
      <w:rPr>
        <w:color w:val="000000" w:themeColor="text1"/>
        <w:sz w:val="18"/>
      </w:rPr>
      <w:t>21</w:t>
    </w:r>
    <w:r w:rsidR="00D921D2">
      <w:t xml:space="preserve">                                                         </w:t>
    </w:r>
    <w:r w:rsidR="00A97A3B" w:rsidRPr="00DE3556">
      <w:rPr>
        <w:color w:val="000000" w:themeColor="text1"/>
        <w:sz w:val="18"/>
      </w:rPr>
      <w:t xml:space="preserve">UPI Legal Consultation – response </w:t>
    </w:r>
    <w:r w:rsidR="00EA2DEE">
      <w:rPr>
        <w:color w:val="000000" w:themeColor="text1"/>
        <w:sz w:val="18"/>
      </w:rPr>
      <w:t xml:space="preserve">                                                 </w:t>
    </w:r>
    <w:r w:rsidR="00EA2DEE" w:rsidRPr="00EA2DEE">
      <w:rPr>
        <w:color w:val="000000" w:themeColor="text1"/>
        <w:sz w:val="18"/>
      </w:rPr>
      <w:t xml:space="preserve">Page | </w:t>
    </w:r>
    <w:r w:rsidR="00EA2DEE" w:rsidRPr="00EA2DEE">
      <w:rPr>
        <w:color w:val="000000" w:themeColor="text1"/>
        <w:sz w:val="18"/>
      </w:rPr>
      <w:fldChar w:fldCharType="begin"/>
    </w:r>
    <w:r w:rsidR="00EA2DEE" w:rsidRPr="00EA2DEE">
      <w:rPr>
        <w:color w:val="000000" w:themeColor="text1"/>
        <w:sz w:val="18"/>
      </w:rPr>
      <w:instrText xml:space="preserve"> PAGE   \* MERGEFORMAT </w:instrText>
    </w:r>
    <w:r w:rsidR="00EA2DEE" w:rsidRPr="00EA2DEE">
      <w:rPr>
        <w:color w:val="000000" w:themeColor="text1"/>
        <w:sz w:val="18"/>
      </w:rPr>
      <w:fldChar w:fldCharType="separate"/>
    </w:r>
    <w:r w:rsidR="00EA2DEE" w:rsidRPr="00EA2DEE">
      <w:rPr>
        <w:noProof/>
        <w:color w:val="000000" w:themeColor="text1"/>
        <w:sz w:val="18"/>
      </w:rPr>
      <w:t>1</w:t>
    </w:r>
    <w:r w:rsidR="00EA2DEE" w:rsidRPr="00EA2DEE">
      <w:rPr>
        <w:noProof/>
        <w:color w:val="000000" w:themeColor="text1"/>
        <w:sz w:val="18"/>
      </w:rPr>
      <w:fldChar w:fldCharType="end"/>
    </w:r>
  </w:p>
  <w:p w14:paraId="1E8A89F8" w14:textId="1B389EB3" w:rsidR="00375D8E" w:rsidRDefault="00A97A3B">
    <w:pPr>
      <w:pStyle w:val="Footer"/>
    </w:pPr>
    <w:r>
      <w:rPr>
        <w:color w:val="000000" w:themeColor="text1"/>
        <w:sz w:val="18"/>
      </w:rPr>
      <w:tab/>
      <w:t xml:space="preserve">      </w:t>
    </w:r>
    <w:r w:rsidR="00217F92">
      <w:rPr>
        <w:color w:val="000000" w:themeColor="text1"/>
        <w:sz w:val="18"/>
      </w:rPr>
      <w:t xml:space="preserve">               </w:t>
    </w:r>
    <w:r w:rsidRPr="00DE3556">
      <w:rPr>
        <w:color w:val="000000" w:themeColor="text1"/>
        <w:sz w:val="18"/>
      </w:rPr>
      <w:t>deadl</w:t>
    </w:r>
    <w:r>
      <w:rPr>
        <w:color w:val="000000" w:themeColor="text1"/>
        <w:sz w:val="18"/>
      </w:rPr>
      <w:t>ine 5pm UTC 19 January 2022</w:t>
    </w:r>
    <w:r>
      <w:rPr>
        <w:color w:val="000000" w:themeColor="text1"/>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2F67A" w14:textId="77777777" w:rsidR="000D17A2" w:rsidRDefault="000D17A2" w:rsidP="006308B0">
      <w:pPr>
        <w:spacing w:after="0" w:line="240" w:lineRule="auto"/>
      </w:pPr>
      <w:r>
        <w:separator/>
      </w:r>
    </w:p>
  </w:footnote>
  <w:footnote w:type="continuationSeparator" w:id="0">
    <w:p w14:paraId="06280BC8" w14:textId="77777777" w:rsidR="000D17A2" w:rsidRDefault="000D17A2" w:rsidP="006308B0">
      <w:pPr>
        <w:spacing w:after="0" w:line="240" w:lineRule="auto"/>
      </w:pPr>
      <w:r>
        <w:continuationSeparator/>
      </w:r>
    </w:p>
  </w:footnote>
  <w:footnote w:type="continuationNotice" w:id="1">
    <w:p w14:paraId="67656325" w14:textId="77777777" w:rsidR="000D17A2" w:rsidRDefault="000D17A2">
      <w:pPr>
        <w:spacing w:after="0" w:line="240" w:lineRule="auto"/>
      </w:pPr>
    </w:p>
  </w:footnote>
  <w:footnote w:id="2">
    <w:p w14:paraId="1C9A5F03" w14:textId="77777777" w:rsidR="007625FD" w:rsidRDefault="007625FD" w:rsidP="007625FD">
      <w:pPr>
        <w:pStyle w:val="FootnoteText"/>
      </w:pPr>
      <w:r>
        <w:rPr>
          <w:rStyle w:val="FootnoteReference"/>
        </w:rPr>
        <w:footnoteRef/>
      </w:r>
      <w:r>
        <w:t xml:space="preserve"> </w:t>
      </w:r>
      <w:hyperlink r:id="rId1" w:history="1">
        <w:r>
          <w:rPr>
            <w:rStyle w:val="Hyperlink"/>
          </w:rPr>
          <w:t>https://www.fsb.org/2019/05/fsb-designates-dsb-as-unique-product-identifier-upi-service-provider/</w:t>
        </w:r>
      </w:hyperlink>
      <w:r>
        <w:t xml:space="preserve"> </w:t>
      </w:r>
    </w:p>
  </w:footnote>
  <w:footnote w:id="3">
    <w:p w14:paraId="693BA4C5" w14:textId="77777777" w:rsidR="007625FD" w:rsidRDefault="007625FD" w:rsidP="007625FD">
      <w:pPr>
        <w:pStyle w:val="FootnoteText"/>
      </w:pPr>
      <w:r>
        <w:rPr>
          <w:rStyle w:val="FootnoteReference"/>
        </w:rPr>
        <w:footnoteRef/>
      </w:r>
      <w:r>
        <w:t xml:space="preserve"> </w:t>
      </w:r>
      <w:r w:rsidRPr="001D5B1D">
        <w:rPr>
          <w:rStyle w:val="Hyperlink"/>
        </w:rPr>
        <w:t>https://www.fsb.org/wp-content/uploads/r_140919.pdf</w:t>
      </w:r>
      <w:r>
        <w:t xml:space="preserve"> </w:t>
      </w:r>
    </w:p>
  </w:footnote>
  <w:footnote w:id="4">
    <w:p w14:paraId="302CF9A0" w14:textId="77777777" w:rsidR="007625FD" w:rsidRDefault="007625FD" w:rsidP="007625FD">
      <w:pPr>
        <w:pStyle w:val="FootnoteText"/>
      </w:pPr>
      <w:r>
        <w:rPr>
          <w:rStyle w:val="FootnoteReference"/>
        </w:rPr>
        <w:footnoteRef/>
      </w:r>
      <w:r>
        <w:t xml:space="preserve"> </w:t>
      </w:r>
      <w:hyperlink r:id="rId2" w:history="1">
        <w:r w:rsidRPr="008248A2">
          <w:rPr>
            <w:rStyle w:val="Hyperlink"/>
          </w:rPr>
          <w:t>https://www.leiroc.org/publications/gls/roc_20201001-2.pdf</w:t>
        </w:r>
      </w:hyperlink>
      <w:r>
        <w:t xml:space="preserve"> </w:t>
      </w:r>
    </w:p>
  </w:footnote>
  <w:footnote w:id="5">
    <w:p w14:paraId="487143B8" w14:textId="77777777" w:rsidR="007625FD" w:rsidRDefault="007625FD" w:rsidP="007625FD">
      <w:pPr>
        <w:pStyle w:val="FootnoteText"/>
      </w:pPr>
      <w:r>
        <w:rPr>
          <w:rStyle w:val="FootnoteReference"/>
        </w:rPr>
        <w:footnoteRef/>
      </w:r>
      <w:r>
        <w:t xml:space="preserve"> </w:t>
      </w:r>
      <w:hyperlink r:id="rId3" w:history="1">
        <w:r w:rsidRPr="008248A2">
          <w:rPr>
            <w:rStyle w:val="Hyperlink"/>
          </w:rPr>
          <w:t>https://www.fsb.org/wp-content/uploads/P250920.pdf</w:t>
        </w:r>
      </w:hyperlink>
      <w:r>
        <w:t xml:space="preserve"> </w:t>
      </w:r>
    </w:p>
  </w:footnote>
  <w:footnote w:id="6">
    <w:p w14:paraId="3C3FC675" w14:textId="77777777" w:rsidR="007625FD" w:rsidRPr="004552E9" w:rsidRDefault="007625FD" w:rsidP="007625FD">
      <w:pPr>
        <w:pStyle w:val="FootnoteText"/>
        <w:rPr>
          <w:lang w:val="en-GB"/>
        </w:rPr>
      </w:pPr>
      <w:r>
        <w:rPr>
          <w:rStyle w:val="FootnoteReference"/>
        </w:rPr>
        <w:footnoteRef/>
      </w:r>
      <w:r w:rsidRPr="004552E9">
        <w:rPr>
          <w:lang w:val="en-GB"/>
        </w:rPr>
        <w:t xml:space="preserve"> </w:t>
      </w:r>
      <w:hyperlink r:id="rId4" w:history="1">
        <w:r w:rsidRPr="008248A2">
          <w:rPr>
            <w:rStyle w:val="Hyperlink"/>
            <w:lang w:val="en-GB"/>
          </w:rPr>
          <w:t>https://www.anna-dsb.com/download/roc-dsb-mou/</w:t>
        </w:r>
      </w:hyperlink>
      <w:r>
        <w:rPr>
          <w:lang w:val="en-GB"/>
        </w:rPr>
        <w:t xml:space="preserve"> </w:t>
      </w:r>
    </w:p>
  </w:footnote>
  <w:footnote w:id="7">
    <w:p w14:paraId="75AD3D75" w14:textId="77777777" w:rsidR="007625FD" w:rsidRPr="00AC53E1" w:rsidRDefault="007625FD" w:rsidP="007625FD">
      <w:pPr>
        <w:pStyle w:val="FootnoteText"/>
        <w:rPr>
          <w:lang w:val="it-IT"/>
        </w:rPr>
      </w:pPr>
      <w:r>
        <w:rPr>
          <w:rStyle w:val="FootnoteReference"/>
        </w:rPr>
        <w:footnoteRef/>
      </w:r>
      <w:r w:rsidRPr="00AC53E1">
        <w:rPr>
          <w:lang w:val="it-IT"/>
        </w:rPr>
        <w:t xml:space="preserve"> </w:t>
      </w:r>
      <w:hyperlink r:id="rId5" w:history="1">
        <w:r w:rsidRPr="00AC53E1">
          <w:rPr>
            <w:rStyle w:val="Hyperlink"/>
            <w:lang w:val="it-IT"/>
          </w:rPr>
          <w:t>ROC-DSB Notifications protocol - DSB (anna-dsb.com)</w:t>
        </w:r>
      </w:hyperlink>
      <w:r w:rsidRPr="00AC53E1">
        <w:rPr>
          <w:lang w:val="it-IT"/>
        </w:rPr>
        <w:t xml:space="preserve"> </w:t>
      </w:r>
    </w:p>
  </w:footnote>
  <w:footnote w:id="8">
    <w:p w14:paraId="121BB23C" w14:textId="77777777" w:rsidR="007625FD" w:rsidRPr="005D38BE" w:rsidRDefault="007625FD" w:rsidP="007625FD">
      <w:pPr>
        <w:pStyle w:val="FootnoteText"/>
        <w:rPr>
          <w:lang w:val="en-GB"/>
        </w:rPr>
      </w:pPr>
      <w:r>
        <w:rPr>
          <w:rStyle w:val="FootnoteReference"/>
        </w:rPr>
        <w:footnoteRef/>
      </w:r>
      <w:r w:rsidRPr="005D38BE">
        <w:rPr>
          <w:lang w:val="en-GB"/>
        </w:rPr>
        <w:t xml:space="preserve"> </w:t>
      </w:r>
      <w:hyperlink r:id="rId6" w:history="1">
        <w:r w:rsidRPr="005D38BE">
          <w:rPr>
            <w:rStyle w:val="Hyperlink"/>
            <w:lang w:val="en-GB"/>
          </w:rPr>
          <w:t>https://www.anna-dsb.com/upi-fee-model-consultation-2021/</w:t>
        </w:r>
      </w:hyperlink>
      <w:r w:rsidRPr="005D38BE">
        <w:rPr>
          <w:lang w:val="en-GB"/>
        </w:rPr>
        <w:t xml:space="preserve"> </w:t>
      </w:r>
    </w:p>
  </w:footnote>
  <w:footnote w:id="9">
    <w:p w14:paraId="4B915DAC" w14:textId="77777777" w:rsidR="007625FD" w:rsidRPr="00D2043B" w:rsidRDefault="007625FD" w:rsidP="007625FD">
      <w:pPr>
        <w:pStyle w:val="FootnoteText"/>
        <w:rPr>
          <w:lang w:val="en-GB"/>
        </w:rPr>
      </w:pPr>
      <w:r>
        <w:rPr>
          <w:rStyle w:val="FootnoteReference"/>
        </w:rPr>
        <w:footnoteRef/>
      </w:r>
      <w:r w:rsidRPr="00D2043B">
        <w:rPr>
          <w:lang w:val="en-GB"/>
        </w:rPr>
        <w:t xml:space="preserve"> </w:t>
      </w:r>
      <w:r>
        <w:rPr>
          <w:lang w:val="en-GB"/>
        </w:rPr>
        <w:t>Services for which fees will be chargeable include the “</w:t>
      </w:r>
      <w:r w:rsidRPr="00D2043B">
        <w:rPr>
          <w:lang w:val="en-GB"/>
        </w:rPr>
        <w:t xml:space="preserve">Infrequent </w:t>
      </w:r>
      <w:r w:rsidRPr="00D2043B" w:rsidDel="00D3207B">
        <w:rPr>
          <w:lang w:val="en-GB"/>
        </w:rPr>
        <w:t>User</w:t>
      </w:r>
      <w:r>
        <w:rPr>
          <w:lang w:val="en-GB"/>
        </w:rPr>
        <w:t>”</w:t>
      </w:r>
      <w:r w:rsidRPr="00D2043B">
        <w:rPr>
          <w:lang w:val="en-GB"/>
        </w:rPr>
        <w:t xml:space="preserve">, </w:t>
      </w:r>
      <w:r>
        <w:rPr>
          <w:lang w:val="en-GB"/>
        </w:rPr>
        <w:t>“</w:t>
      </w:r>
      <w:r w:rsidRPr="00D2043B">
        <w:rPr>
          <w:lang w:val="en-GB"/>
        </w:rPr>
        <w:t>Stand</w:t>
      </w:r>
      <w:r>
        <w:rPr>
          <w:lang w:val="en-GB"/>
        </w:rPr>
        <w:t xml:space="preserve">ard </w:t>
      </w:r>
      <w:r w:rsidDel="00D3207B">
        <w:rPr>
          <w:lang w:val="en-GB"/>
        </w:rPr>
        <w:t>User</w:t>
      </w:r>
      <w:r>
        <w:rPr>
          <w:lang w:val="en-GB"/>
        </w:rPr>
        <w:t xml:space="preserve">”, “Search-only API </w:t>
      </w:r>
      <w:r w:rsidDel="00D3207B">
        <w:rPr>
          <w:lang w:val="en-GB"/>
        </w:rPr>
        <w:t>User</w:t>
      </w:r>
      <w:r>
        <w:rPr>
          <w:lang w:val="en-GB"/>
        </w:rPr>
        <w:t xml:space="preserve">”, and “Power </w:t>
      </w:r>
      <w:r w:rsidDel="00D3207B">
        <w:rPr>
          <w:lang w:val="en-GB"/>
        </w:rPr>
        <w:t>User</w:t>
      </w:r>
      <w:r>
        <w:rPr>
          <w:lang w:val="en-GB"/>
        </w:rPr>
        <w:t xml:space="preserve">” categories </w:t>
      </w:r>
    </w:p>
  </w:footnote>
  <w:footnote w:id="10">
    <w:p w14:paraId="22C359F7" w14:textId="77777777" w:rsidR="007625FD" w:rsidRDefault="007625FD" w:rsidP="007625FD">
      <w:pPr>
        <w:pStyle w:val="FootnoteText"/>
      </w:pPr>
      <w:r>
        <w:rPr>
          <w:rStyle w:val="FootnoteReference"/>
        </w:rPr>
        <w:footnoteRef/>
      </w:r>
      <w:r>
        <w:t xml:space="preserve"> Please refer to question 1</w:t>
      </w:r>
    </w:p>
  </w:footnote>
  <w:footnote w:id="11">
    <w:p w14:paraId="3B5F2156" w14:textId="77777777" w:rsidR="007625FD" w:rsidRDefault="007625FD" w:rsidP="007625FD">
      <w:pPr>
        <w:pStyle w:val="FootnoteText"/>
      </w:pPr>
      <w:r>
        <w:rPr>
          <w:rStyle w:val="FootnoteReference"/>
        </w:rPr>
        <w:footnoteRef/>
      </w:r>
      <w:r>
        <w:t xml:space="preserve"> </w:t>
      </w:r>
      <w:r w:rsidRPr="00107C22">
        <w:t>Pleas</w:t>
      </w:r>
      <w:r>
        <w:t xml:space="preserve">e refer to section </w:t>
      </w:r>
      <w:r>
        <w:fldChar w:fldCharType="begin"/>
      </w:r>
      <w:r>
        <w:instrText xml:space="preserve"> REF _Ref83379769 \r \h </w:instrText>
      </w:r>
      <w:r>
        <w:fldChar w:fldCharType="separate"/>
      </w:r>
      <w:r>
        <w:t>3.2</w:t>
      </w:r>
      <w:r>
        <w:fldChar w:fldCharType="end"/>
      </w:r>
      <w:r>
        <w:t xml:space="preserve"> of this paper and </w:t>
      </w:r>
      <w:r w:rsidRPr="00A634C1">
        <w:rPr>
          <w:rStyle w:val="Hyperlink"/>
        </w:rPr>
        <w:t>https://www.fsb.org/2019/10/governance-arrangements-for-the-upi/</w:t>
      </w:r>
    </w:p>
  </w:footnote>
  <w:footnote w:id="12">
    <w:p w14:paraId="4B8EBA75" w14:textId="77777777" w:rsidR="007625FD" w:rsidRDefault="007625FD" w:rsidP="007625FD">
      <w:pPr>
        <w:pStyle w:val="FootnoteText"/>
      </w:pPr>
      <w:r>
        <w:rPr>
          <w:rStyle w:val="FootnoteReference"/>
        </w:rPr>
        <w:footnoteRef/>
      </w:r>
      <w:r>
        <w:t xml:space="preserve"> </w:t>
      </w:r>
      <w:hyperlink r:id="rId7" w:history="1">
        <w:r w:rsidRPr="008248A2">
          <w:rPr>
            <w:rStyle w:val="Hyperlink"/>
          </w:rPr>
          <w:t>https://www.anna-dsb.com/subscribe-to-notifications/</w:t>
        </w:r>
      </w:hyperlink>
      <w:r>
        <w:t xml:space="preserve"> </w:t>
      </w:r>
    </w:p>
  </w:footnote>
  <w:footnote w:id="13">
    <w:p w14:paraId="3D93E8A8" w14:textId="77777777" w:rsidR="007625FD" w:rsidRPr="00BE2743" w:rsidRDefault="007625FD" w:rsidP="007625FD">
      <w:pPr>
        <w:pStyle w:val="FootnoteText"/>
      </w:pPr>
      <w:r>
        <w:rPr>
          <w:rStyle w:val="FootnoteReference"/>
        </w:rPr>
        <w:footnoteRef/>
      </w:r>
      <w:r w:rsidRPr="00BE2743">
        <w:t xml:space="preserve"> </w:t>
      </w:r>
      <w:hyperlink r:id="rId8" w:history="1">
        <w:r w:rsidRPr="008248A2">
          <w:rPr>
            <w:rStyle w:val="Hyperlink"/>
          </w:rPr>
          <w:t>https://www.anna-dsb.com/upi/</w:t>
        </w:r>
      </w:hyperlink>
    </w:p>
  </w:footnote>
  <w:footnote w:id="14">
    <w:p w14:paraId="6E5139D0" w14:textId="77777777" w:rsidR="007625FD" w:rsidRDefault="007625FD" w:rsidP="007625FD">
      <w:pPr>
        <w:pStyle w:val="FootnoteText"/>
      </w:pPr>
      <w:r>
        <w:rPr>
          <w:rStyle w:val="FootnoteReference"/>
        </w:rPr>
        <w:footnoteRef/>
      </w:r>
      <w:r>
        <w:t xml:space="preserve"> </w:t>
      </w:r>
      <w:hyperlink r:id="rId9" w:history="1">
        <w:r w:rsidRPr="00BC4A81">
          <w:rPr>
            <w:rStyle w:val="Hyperlink"/>
          </w:rPr>
          <w:t>https://www.iso.org/standard/80506.html</w:t>
        </w:r>
      </w:hyperlink>
      <w:r>
        <w:t xml:space="preserve"> </w:t>
      </w:r>
    </w:p>
  </w:footnote>
  <w:footnote w:id="15">
    <w:p w14:paraId="3D23D706" w14:textId="77777777" w:rsidR="007625FD" w:rsidRDefault="007625FD" w:rsidP="007625FD">
      <w:pPr>
        <w:pStyle w:val="FootnoteText"/>
      </w:pPr>
      <w:r>
        <w:rPr>
          <w:rStyle w:val="FootnoteReference"/>
        </w:rPr>
        <w:footnoteRef/>
      </w:r>
      <w:r>
        <w:t xml:space="preserve"> </w:t>
      </w:r>
      <w:hyperlink r:id="rId10" w:history="1">
        <w:r w:rsidRPr="004C0771">
          <w:rPr>
            <w:rStyle w:val="Hyperlink"/>
          </w:rPr>
          <w:t>https://www.iso.org/standard/77308.html</w:t>
        </w:r>
      </w:hyperlink>
    </w:p>
  </w:footnote>
  <w:footnote w:id="16">
    <w:p w14:paraId="22FCE1C4" w14:textId="77777777" w:rsidR="007625FD" w:rsidRDefault="007625FD" w:rsidP="007625FD">
      <w:pPr>
        <w:pStyle w:val="FootnoteText"/>
      </w:pPr>
      <w:r>
        <w:rPr>
          <w:rStyle w:val="FootnoteReference"/>
        </w:rPr>
        <w:footnoteRef/>
      </w:r>
      <w:r>
        <w:t xml:space="preserve"> </w:t>
      </w:r>
      <w:hyperlink r:id="rId11" w:history="1">
        <w:r w:rsidRPr="003F6E05">
          <w:rPr>
            <w:rStyle w:val="Hyperlink"/>
          </w:rPr>
          <w:t>https://www.iso20022.org/</w:t>
        </w:r>
      </w:hyperlink>
      <w:r>
        <w:rPr>
          <w:rStyle w:val="Hyperlink"/>
        </w:rPr>
        <w:t xml:space="preserve"> </w:t>
      </w:r>
    </w:p>
  </w:footnote>
  <w:footnote w:id="17">
    <w:p w14:paraId="5A6DD4D9" w14:textId="77777777" w:rsidR="007625FD" w:rsidRDefault="007625FD" w:rsidP="007625FD">
      <w:pPr>
        <w:pStyle w:val="FootnoteText"/>
      </w:pPr>
      <w:r>
        <w:rPr>
          <w:rStyle w:val="FootnoteReference"/>
        </w:rPr>
        <w:footnoteRef/>
      </w:r>
      <w:r>
        <w:t xml:space="preserve"> </w:t>
      </w:r>
      <w:hyperlink r:id="rId12" w:history="1">
        <w:r w:rsidRPr="00BC4A81">
          <w:rPr>
            <w:rStyle w:val="Hyperlink"/>
          </w:rPr>
          <w:t>https://www.iso.org/standard/78829.html</w:t>
        </w:r>
      </w:hyperlink>
      <w:r>
        <w:t xml:space="preserve"> &amp; </w:t>
      </w:r>
      <w:hyperlink r:id="rId13" w:history="1">
        <w:r w:rsidRPr="00645122">
          <w:rPr>
            <w:rStyle w:val="Hyperlink"/>
          </w:rPr>
          <w:t>https://www.gleif.org/</w:t>
        </w:r>
      </w:hyperlink>
      <w:r>
        <w:t xml:space="preserve"> </w:t>
      </w:r>
    </w:p>
  </w:footnote>
  <w:footnote w:id="18">
    <w:p w14:paraId="428B6EF6" w14:textId="77777777" w:rsidR="007625FD" w:rsidRDefault="007625FD" w:rsidP="007625FD">
      <w:pPr>
        <w:pStyle w:val="FootnoteText"/>
      </w:pPr>
      <w:r>
        <w:rPr>
          <w:rStyle w:val="FootnoteReference"/>
        </w:rPr>
        <w:footnoteRef/>
      </w:r>
      <w:r>
        <w:t xml:space="preserve"> </w:t>
      </w:r>
      <w:hyperlink r:id="rId14" w:history="1">
        <w:r w:rsidRPr="00D7762A">
          <w:rPr>
            <w:rStyle w:val="Hyperlink"/>
          </w:rPr>
          <w:t>http://www.bis.org/cpmi/publ/d169.htm</w:t>
        </w:r>
      </w:hyperlink>
      <w:r>
        <w:t xml:space="preserve"> </w:t>
      </w:r>
    </w:p>
  </w:footnote>
  <w:footnote w:id="19">
    <w:p w14:paraId="7A2C9CF2" w14:textId="77777777" w:rsidR="007625FD" w:rsidRDefault="007625FD" w:rsidP="007625FD">
      <w:pPr>
        <w:pStyle w:val="FootnoteText"/>
      </w:pPr>
      <w:r>
        <w:rPr>
          <w:rStyle w:val="FootnoteReference"/>
        </w:rPr>
        <w:footnoteRef/>
      </w:r>
      <w:r>
        <w:t xml:space="preserve"> </w:t>
      </w:r>
      <w:hyperlink r:id="rId15" w:history="1">
        <w:r w:rsidRPr="00D7762A">
          <w:rPr>
            <w:rStyle w:val="Hyperlink"/>
          </w:rPr>
          <w:t>https://www.bis.org/cpmi/publ/d158.pdf</w:t>
        </w:r>
      </w:hyperlink>
      <w:r>
        <w:t xml:space="preserve"> </w:t>
      </w:r>
    </w:p>
  </w:footnote>
  <w:footnote w:id="20">
    <w:p w14:paraId="1C8DD7FE" w14:textId="77777777" w:rsidR="007625FD" w:rsidRDefault="007625FD" w:rsidP="007625FD">
      <w:pPr>
        <w:pStyle w:val="FootnoteText"/>
      </w:pPr>
      <w:r>
        <w:rPr>
          <w:rStyle w:val="FootnoteReference"/>
        </w:rPr>
        <w:footnoteRef/>
      </w:r>
      <w:r>
        <w:t xml:space="preserve"> </w:t>
      </w:r>
      <w:hyperlink r:id="rId16" w:history="1">
        <w:r w:rsidRPr="00D7762A">
          <w:rPr>
            <w:rStyle w:val="Hyperlink"/>
          </w:rPr>
          <w:t>https://www.bis.org/cpmi/publ/d175.pdf</w:t>
        </w:r>
      </w:hyperlink>
      <w:r>
        <w:t xml:space="preserve"> </w:t>
      </w:r>
    </w:p>
  </w:footnote>
  <w:footnote w:id="21">
    <w:p w14:paraId="08A3EA4B" w14:textId="77777777" w:rsidR="007625FD" w:rsidRDefault="007625FD" w:rsidP="007625FD">
      <w:pPr>
        <w:pStyle w:val="FootnoteText"/>
      </w:pPr>
      <w:r>
        <w:rPr>
          <w:rStyle w:val="FootnoteReference"/>
        </w:rPr>
        <w:footnoteRef/>
      </w:r>
      <w:r>
        <w:t xml:space="preserve"> </w:t>
      </w:r>
      <w:hyperlink r:id="rId17" w:history="1">
        <w:r w:rsidRPr="00D7762A">
          <w:rPr>
            <w:rStyle w:val="Hyperlink"/>
          </w:rPr>
          <w:t>https://www.fsb.org/2019/10/governance-arrangements-for-the-upi/</w:t>
        </w:r>
      </w:hyperlink>
      <w:r>
        <w:t xml:space="preserve"> </w:t>
      </w:r>
    </w:p>
  </w:footnote>
  <w:footnote w:id="22">
    <w:p w14:paraId="135FE982" w14:textId="77777777" w:rsidR="007625FD" w:rsidRPr="00EC6525" w:rsidRDefault="007625FD" w:rsidP="007625FD">
      <w:pPr>
        <w:pStyle w:val="FootnoteText"/>
      </w:pPr>
      <w:r>
        <w:rPr>
          <w:rStyle w:val="FootnoteReference"/>
        </w:rPr>
        <w:footnoteRef/>
      </w:r>
      <w:r>
        <w:t xml:space="preserve"> </w:t>
      </w:r>
      <w:hyperlink r:id="rId18" w:history="1">
        <w:r w:rsidRPr="005B1E2B">
          <w:rPr>
            <w:rStyle w:val="Hyperlink"/>
          </w:rPr>
          <w:t>https://www.leiroc.org/publications/gls/roc_20201001-2.pdf</w:t>
        </w:r>
      </w:hyperlink>
      <w:r>
        <w:t xml:space="preserve"> </w:t>
      </w:r>
    </w:p>
  </w:footnote>
  <w:footnote w:id="23">
    <w:p w14:paraId="618DE4C9" w14:textId="77777777" w:rsidR="007625FD" w:rsidRDefault="007625FD" w:rsidP="007625FD">
      <w:pPr>
        <w:pStyle w:val="FootnoteText"/>
      </w:pPr>
      <w:r>
        <w:rPr>
          <w:rStyle w:val="FootnoteReference"/>
        </w:rPr>
        <w:footnoteRef/>
      </w:r>
      <w:r>
        <w:t xml:space="preserve"> </w:t>
      </w:r>
      <w:hyperlink r:id="rId19" w:history="1">
        <w:r w:rsidRPr="00D7762A">
          <w:rPr>
            <w:rStyle w:val="Hyperlink"/>
          </w:rPr>
          <w:t>https://www.fsb.org/2020/09/lei-roc-to-become-governance-body-for-otc-derivatives-identifiers/</w:t>
        </w:r>
      </w:hyperlink>
      <w:r>
        <w:t xml:space="preserve"> </w:t>
      </w:r>
    </w:p>
  </w:footnote>
  <w:footnote w:id="24">
    <w:p w14:paraId="1B8ED494" w14:textId="77777777" w:rsidR="007625FD" w:rsidRDefault="007625FD" w:rsidP="007625FD">
      <w:pPr>
        <w:pStyle w:val="FootnoteText"/>
      </w:pPr>
      <w:r>
        <w:rPr>
          <w:rStyle w:val="FootnoteReference"/>
        </w:rPr>
        <w:footnoteRef/>
      </w:r>
      <w:r>
        <w:t xml:space="preserve"> </w:t>
      </w:r>
      <w:hyperlink r:id="rId20" w:history="1">
        <w:r w:rsidRPr="00D7762A">
          <w:rPr>
            <w:rStyle w:val="Hyperlink"/>
          </w:rPr>
          <w:t>https://www.leiroc.org/publications/gls/roc_20201001-1.pdf</w:t>
        </w:r>
      </w:hyperlink>
      <w:r>
        <w:t xml:space="preserve"> </w:t>
      </w:r>
    </w:p>
  </w:footnote>
  <w:footnote w:id="25">
    <w:p w14:paraId="517DF846" w14:textId="77777777" w:rsidR="007625FD" w:rsidRDefault="007625FD" w:rsidP="007625FD">
      <w:pPr>
        <w:pStyle w:val="FootnoteText"/>
        <w:ind w:left="142" w:hanging="142"/>
        <w:jc w:val="both"/>
      </w:pPr>
      <w:r w:rsidRPr="00125062">
        <w:rPr>
          <w:rStyle w:val="FootnoteReference"/>
        </w:rPr>
        <w:footnoteRef/>
      </w:r>
      <w:r w:rsidRPr="00125062">
        <w:t xml:space="preserve"> It shall be note that the FSB has no authority over the ISO, so that </w:t>
      </w:r>
      <w:r>
        <w:t xml:space="preserve">development of the </w:t>
      </w:r>
      <w:r w:rsidRPr="00125062">
        <w:t>UPI s</w:t>
      </w:r>
      <w:r>
        <w:t>tandard</w:t>
      </w:r>
      <w:r w:rsidRPr="00125062">
        <w:t xml:space="preserve"> is subject to the usual ISO process (</w:t>
      </w:r>
      <w:hyperlink r:id="rId21" w:history="1">
        <w:r w:rsidRPr="00125062">
          <w:rPr>
            <w:rStyle w:val="Hyperlink"/>
          </w:rPr>
          <w:t>https://committee.iso.org/sites/tc68/home/news/content-left-area/news-and-updates/unique-product-identifier-upi-ba.html</w:t>
        </w:r>
      </w:hyperlink>
      <w:r w:rsidRPr="00125062">
        <w:rPr>
          <w:rStyle w:val="Hyperlink"/>
        </w:rPr>
        <w:t>)</w:t>
      </w:r>
    </w:p>
  </w:footnote>
  <w:footnote w:id="26">
    <w:p w14:paraId="68AA6C58" w14:textId="77777777" w:rsidR="007625FD" w:rsidRPr="00CD4C99" w:rsidRDefault="007625FD" w:rsidP="007625FD">
      <w:pPr>
        <w:pStyle w:val="FootnoteText"/>
      </w:pPr>
      <w:r>
        <w:rPr>
          <w:rStyle w:val="FootnoteReference"/>
        </w:rPr>
        <w:footnoteRef/>
      </w:r>
      <w:r>
        <w:t xml:space="preserve"> </w:t>
      </w:r>
      <w:hyperlink r:id="rId22" w:history="1">
        <w:r w:rsidRPr="005B1E2B">
          <w:rPr>
            <w:rStyle w:val="Hyperlink"/>
          </w:rPr>
          <w:t>https://www.anna-dsb.com/product-committee/</w:t>
        </w:r>
      </w:hyperlink>
      <w:r>
        <w:t xml:space="preserve"> </w:t>
      </w:r>
    </w:p>
  </w:footnote>
  <w:footnote w:id="27">
    <w:p w14:paraId="6D0B60C8" w14:textId="77777777" w:rsidR="007625FD" w:rsidRPr="00CD4C99" w:rsidRDefault="007625FD" w:rsidP="007625FD">
      <w:pPr>
        <w:pStyle w:val="FootnoteText"/>
      </w:pPr>
      <w:r>
        <w:rPr>
          <w:rStyle w:val="FootnoteReference"/>
        </w:rPr>
        <w:footnoteRef/>
      </w:r>
      <w:r>
        <w:t xml:space="preserve"> </w:t>
      </w:r>
      <w:hyperlink r:id="rId23" w:history="1">
        <w:r w:rsidRPr="005B1E2B">
          <w:rPr>
            <w:rStyle w:val="Hyperlink"/>
          </w:rPr>
          <w:t>https://www.anna-dsb.com/technology-advisory-committee/</w:t>
        </w:r>
      </w:hyperlink>
      <w:r>
        <w:t xml:space="preserve"> </w:t>
      </w:r>
    </w:p>
  </w:footnote>
  <w:footnote w:id="28">
    <w:p w14:paraId="688CB950" w14:textId="77777777" w:rsidR="007625FD" w:rsidRDefault="007625FD" w:rsidP="007625FD">
      <w:pPr>
        <w:pStyle w:val="FootnoteText"/>
        <w:ind w:left="284" w:hanging="284"/>
        <w:jc w:val="both"/>
      </w:pPr>
      <w:r w:rsidRPr="00125062">
        <w:rPr>
          <w:rStyle w:val="FootnoteReference"/>
        </w:rPr>
        <w:footnoteRef/>
      </w:r>
      <w:r w:rsidRPr="00125062">
        <w:t xml:space="preserve"> The IGB provides oversight over the UPI Service providers and other elements of the UPI Governance Arrangements, as well coordinate with various stakeholders and other international standard-setting bodies (including CPMI, IOSCO, </w:t>
      </w:r>
      <w:proofErr w:type="gramStart"/>
      <w:r w:rsidRPr="00125062">
        <w:t>FSB</w:t>
      </w:r>
      <w:proofErr w:type="gramEnd"/>
      <w:r w:rsidRPr="00125062">
        <w:t xml:space="preserve"> and ISO).    </w:t>
      </w:r>
    </w:p>
  </w:footnote>
  <w:footnote w:id="29">
    <w:p w14:paraId="79AE1830" w14:textId="77777777" w:rsidR="007625FD" w:rsidRPr="00102E99" w:rsidRDefault="007625FD" w:rsidP="007625FD">
      <w:pPr>
        <w:pStyle w:val="FootnoteText"/>
      </w:pPr>
      <w:r>
        <w:rPr>
          <w:rStyle w:val="FootnoteReference"/>
        </w:rPr>
        <w:footnoteRef/>
      </w:r>
      <w:r>
        <w:t xml:space="preserve"> </w:t>
      </w:r>
      <w:hyperlink r:id="rId24" w:history="1">
        <w:r w:rsidRPr="009E1A5E">
          <w:rPr>
            <w:rStyle w:val="Hyperlink"/>
          </w:rPr>
          <w:t>https://www.leiroc.org/about/membersandobservers/index.htm</w:t>
        </w:r>
      </w:hyperlink>
      <w:r>
        <w:t xml:space="preserve"> </w:t>
      </w:r>
    </w:p>
  </w:footnote>
  <w:footnote w:id="30">
    <w:p w14:paraId="26E2D962" w14:textId="77777777" w:rsidR="007625FD" w:rsidRDefault="007625FD" w:rsidP="007625FD">
      <w:pPr>
        <w:pStyle w:val="FootnoteText"/>
      </w:pPr>
      <w:r>
        <w:rPr>
          <w:rStyle w:val="FootnoteReference"/>
        </w:rPr>
        <w:footnoteRef/>
      </w:r>
      <w:r>
        <w:t xml:space="preserve"> </w:t>
      </w:r>
      <w:r w:rsidDel="00464FDE">
        <w:fldChar w:fldCharType="begin"/>
      </w:r>
      <w:r w:rsidDel="00464FDE">
        <w:fldChar w:fldCharType="separate"/>
      </w:r>
      <w:r>
        <w:rPr>
          <w:rStyle w:val="Hyperlink"/>
        </w:rPr>
        <w:t>See</w:t>
      </w:r>
      <w:r w:rsidDel="00464FDE">
        <w:rPr>
          <w:rStyle w:val="Hyperlink"/>
        </w:rPr>
        <w:fldChar w:fldCharType="end"/>
      </w:r>
      <w:r>
        <w:rPr>
          <w:rStyle w:val="Hyperlink"/>
        </w:rPr>
        <w:t xml:space="preserve"> See footnote 13</w:t>
      </w:r>
      <w:r>
        <w:t xml:space="preserve"> </w:t>
      </w:r>
    </w:p>
  </w:footnote>
  <w:footnote w:id="31">
    <w:p w14:paraId="67BA4676" w14:textId="77777777" w:rsidR="007625FD" w:rsidRDefault="007625FD" w:rsidP="007625FD">
      <w:pPr>
        <w:pStyle w:val="FootnoteText"/>
      </w:pPr>
      <w:r>
        <w:rPr>
          <w:rStyle w:val="FootnoteReference"/>
        </w:rPr>
        <w:footnoteRef/>
      </w:r>
      <w:r>
        <w:t xml:space="preserve"> </w:t>
      </w:r>
      <w:r w:rsidDel="00464FDE">
        <w:fldChar w:fldCharType="begin"/>
      </w:r>
      <w:r w:rsidDel="00464FDE">
        <w:fldChar w:fldCharType="separate"/>
      </w:r>
      <w:r>
        <w:rPr>
          <w:rStyle w:val="Hyperlink"/>
        </w:rPr>
        <w:t>See</w:t>
      </w:r>
      <w:r w:rsidDel="00464FDE">
        <w:rPr>
          <w:rStyle w:val="Hyperlink"/>
        </w:rPr>
        <w:fldChar w:fldCharType="end"/>
      </w:r>
      <w:r>
        <w:rPr>
          <w:rStyle w:val="Hyperlink"/>
        </w:rPr>
        <w:t xml:space="preserve"> See footnote 14</w:t>
      </w:r>
      <w:r>
        <w:t xml:space="preserve"> </w:t>
      </w:r>
    </w:p>
  </w:footnote>
  <w:footnote w:id="32">
    <w:p w14:paraId="702E101B" w14:textId="77777777" w:rsidR="007625FD" w:rsidRDefault="007625FD" w:rsidP="007625FD">
      <w:pPr>
        <w:pStyle w:val="FootnoteText"/>
      </w:pPr>
      <w:r>
        <w:rPr>
          <w:rStyle w:val="FootnoteReference"/>
        </w:rPr>
        <w:footnoteRef/>
      </w:r>
      <w:r>
        <w:t xml:space="preserve"> </w:t>
      </w:r>
      <w:hyperlink r:id="rId25" w:history="1">
        <w:r w:rsidRPr="002B2417">
          <w:rPr>
            <w:rStyle w:val="Hyperlink"/>
          </w:rPr>
          <w:t>See footnote 9</w:t>
        </w:r>
      </w:hyperlink>
    </w:p>
  </w:footnote>
  <w:footnote w:id="33">
    <w:p w14:paraId="322CC396" w14:textId="77777777" w:rsidR="007625FD" w:rsidRDefault="007625FD" w:rsidP="007625FD">
      <w:pPr>
        <w:pStyle w:val="FootnoteText"/>
      </w:pPr>
      <w:r>
        <w:rPr>
          <w:rStyle w:val="FootnoteReference"/>
        </w:rPr>
        <w:footnoteRef/>
      </w:r>
      <w:r>
        <w:t xml:space="preserve"> Cost recovery, which incorporates the DSB’s financial sustainability margin, includes both recurring costs such as technology &amp; operations, management, </w:t>
      </w:r>
      <w:proofErr w:type="gramStart"/>
      <w:r>
        <w:t>administration</w:t>
      </w:r>
      <w:proofErr w:type="gramEnd"/>
      <w:r>
        <w:t xml:space="preserve"> and external consultants as well as time-limited costs such as amortisation of the build costs.</w:t>
      </w:r>
    </w:p>
  </w:footnote>
  <w:footnote w:id="34">
    <w:p w14:paraId="7A581AFE" w14:textId="77777777" w:rsidR="007625FD" w:rsidRPr="000D1AFA" w:rsidRDefault="007625FD" w:rsidP="007625FD">
      <w:pPr>
        <w:pStyle w:val="FootnoteText"/>
      </w:pPr>
      <w:r>
        <w:rPr>
          <w:rStyle w:val="FootnoteReference"/>
        </w:rPr>
        <w:footnoteRef/>
      </w:r>
      <w:r>
        <w:t xml:space="preserve"> </w:t>
      </w:r>
      <w:r w:rsidRPr="00CE0123">
        <w:t>Markets in Financial Instruments Directive (MiFID)</w:t>
      </w:r>
    </w:p>
  </w:footnote>
  <w:footnote w:id="35">
    <w:p w14:paraId="211089BF" w14:textId="77777777" w:rsidR="007625FD" w:rsidRPr="00624BD5" w:rsidRDefault="007625FD" w:rsidP="007625FD">
      <w:pPr>
        <w:pStyle w:val="FootnoteText"/>
      </w:pPr>
      <w:r>
        <w:rPr>
          <w:rStyle w:val="FootnoteReference"/>
        </w:rPr>
        <w:footnoteRef/>
      </w:r>
      <w:r>
        <w:t xml:space="preserve"> </w:t>
      </w:r>
      <w:r w:rsidRPr="00624BD5">
        <w:t>Markets in Financial Instruments (MiFIR)</w:t>
      </w:r>
      <w:r>
        <w:t xml:space="preserve"> </w:t>
      </w:r>
    </w:p>
  </w:footnote>
  <w:footnote w:id="36">
    <w:p w14:paraId="12812773" w14:textId="77777777" w:rsidR="007625FD" w:rsidRPr="000A5961" w:rsidRDefault="007625FD" w:rsidP="007625FD">
      <w:pPr>
        <w:pStyle w:val="FootnoteText"/>
      </w:pPr>
      <w:r>
        <w:rPr>
          <w:rStyle w:val="FootnoteReference"/>
        </w:rPr>
        <w:footnoteRef/>
      </w:r>
      <w:r w:rsidRPr="002E2C3F" w:rsidDel="000F2055">
        <w:t xml:space="preserve"> </w:t>
      </w:r>
      <w:r w:rsidRPr="002E2C3F">
        <w:t xml:space="preserve">The DSB’s charges policies for its existing service </w:t>
      </w:r>
      <w:r>
        <w:t>illustrates</w:t>
      </w:r>
      <w:r w:rsidRPr="002E2C3F">
        <w:t xml:space="preserve"> how the existing service recovers costs across the differing </w:t>
      </w:r>
      <w:r>
        <w:t>User</w:t>
      </w:r>
      <w:r w:rsidRPr="002E2C3F">
        <w:t xml:space="preserve"> categories: </w:t>
      </w:r>
      <w:hyperlink r:id="rId26" w:history="1">
        <w:r w:rsidRPr="00645122">
          <w:rPr>
            <w:rStyle w:val="Hyperlink"/>
          </w:rPr>
          <w:t>https://www.anna-dsb.com/download/dsb-charges-policy_v5_2021_final/</w:t>
        </w:r>
      </w:hyperlink>
      <w:r>
        <w:t>.</w:t>
      </w:r>
      <w:r w:rsidRPr="002E2C3F">
        <w:t xml:space="preserve"> The actual fee values are shown here: </w:t>
      </w:r>
      <w:hyperlink r:id="rId27" w:history="1">
        <w:r w:rsidRPr="00645122">
          <w:rPr>
            <w:rStyle w:val="Hyperlink"/>
          </w:rPr>
          <w:t>https://www.anna-dsb.com/fees-rules-2021/</w:t>
        </w:r>
      </w:hyperlink>
      <w:r>
        <w:t xml:space="preserve"> </w:t>
      </w:r>
    </w:p>
  </w:footnote>
  <w:footnote w:id="37">
    <w:p w14:paraId="7FD3300E" w14:textId="50091D10" w:rsidR="007625FD" w:rsidRPr="003F5F8A" w:rsidRDefault="007625FD" w:rsidP="007625FD">
      <w:pPr>
        <w:pStyle w:val="FootnoteText"/>
      </w:pPr>
      <w:r>
        <w:rPr>
          <w:rStyle w:val="FootnoteReference"/>
        </w:rPr>
        <w:footnoteRef/>
      </w:r>
      <w:r w:rsidRPr="003F5F8A">
        <w:t xml:space="preserve"> </w:t>
      </w:r>
      <w:r>
        <w:t xml:space="preserve">Following User </w:t>
      </w:r>
      <w:r w:rsidR="00A21BF1">
        <w:t>consultation,</w:t>
      </w:r>
      <w:r>
        <w:t xml:space="preserve"> the DSB has implemented a model where up to 5 results are returned in response to a search by Registered Users and Infrequent Users when using the DSB’s web-interface, and the full compendium of search results are returned to other types of DSB Users. Note that all DSB Users </w:t>
      </w:r>
      <w:r w:rsidR="001711A6">
        <w:t>can</w:t>
      </w:r>
      <w:r>
        <w:t xml:space="preserve"> access the full suite of DSB data by downloading the free to use files and subsequently utilizing the data in the Users’ own systems. </w:t>
      </w:r>
    </w:p>
  </w:footnote>
  <w:footnote w:id="38">
    <w:p w14:paraId="63E77BA6" w14:textId="77777777" w:rsidR="007625FD" w:rsidRPr="00DE4976" w:rsidRDefault="007625FD" w:rsidP="007625FD">
      <w:pPr>
        <w:pStyle w:val="FootnoteText"/>
      </w:pPr>
      <w:r>
        <w:rPr>
          <w:rStyle w:val="FootnoteReference"/>
        </w:rPr>
        <w:footnoteRef/>
      </w:r>
      <w:r>
        <w:t xml:space="preserve"> </w:t>
      </w:r>
      <w:hyperlink r:id="rId28" w:history="1">
        <w:r w:rsidRPr="008C31FF">
          <w:rPr>
            <w:rStyle w:val="Hyperlink"/>
          </w:rPr>
          <w:t>https://www.anna-dsb.com/download/2021-industry-consultation-paper/</w:t>
        </w:r>
      </w:hyperlink>
      <w:r>
        <w:t xml:space="preserve"> </w:t>
      </w:r>
    </w:p>
  </w:footnote>
  <w:footnote w:id="39">
    <w:p w14:paraId="05FB2604" w14:textId="02A34C69" w:rsidR="005C6A05" w:rsidRPr="000B18A3" w:rsidRDefault="005C6A05">
      <w:pPr>
        <w:pStyle w:val="FootnoteText"/>
        <w:rPr>
          <w:lang w:val="en-GB"/>
        </w:rPr>
      </w:pPr>
      <w:r>
        <w:rPr>
          <w:rStyle w:val="FootnoteReference"/>
        </w:rPr>
        <w:footnoteRef/>
      </w:r>
      <w:r>
        <w:t xml:space="preserve"> </w:t>
      </w:r>
      <w:r w:rsidR="00B56DA8" w:rsidRPr="00B56DA8">
        <w:t>https://www.anna-dsb.com/technology-advisory-sub-committee/</w:t>
      </w:r>
    </w:p>
  </w:footnote>
  <w:footnote w:id="40">
    <w:p w14:paraId="427F852B" w14:textId="77777777" w:rsidR="007625FD" w:rsidRPr="00673D7D" w:rsidRDefault="007625FD" w:rsidP="007625FD">
      <w:pPr>
        <w:pStyle w:val="FootnoteText"/>
        <w:rPr>
          <w:lang w:val="en-GB"/>
        </w:rPr>
      </w:pPr>
      <w:r>
        <w:rPr>
          <w:rStyle w:val="FootnoteReference"/>
        </w:rPr>
        <w:footnoteRef/>
      </w:r>
      <w:r>
        <w:t xml:space="preserve"> </w:t>
      </w:r>
      <w:r w:rsidRPr="00673D7D">
        <w:t>https://www.anna-dsb.com/upi-legal-terms-and-conditions-consultation/</w:t>
      </w:r>
    </w:p>
  </w:footnote>
  <w:footnote w:id="41">
    <w:p w14:paraId="312491BF" w14:textId="77777777" w:rsidR="007625FD" w:rsidRPr="00F901C4" w:rsidRDefault="007625FD" w:rsidP="007625FD">
      <w:pPr>
        <w:pStyle w:val="FootnoteText"/>
        <w:rPr>
          <w:lang w:val="en-GB"/>
        </w:rPr>
      </w:pPr>
      <w:r>
        <w:rPr>
          <w:rStyle w:val="FootnoteReference"/>
        </w:rPr>
        <w:footnoteRef/>
      </w:r>
      <w:r>
        <w:t xml:space="preserve"> </w:t>
      </w:r>
      <w:hyperlink r:id="rId29" w:history="1">
        <w:r w:rsidRPr="008248A2">
          <w:rPr>
            <w:rStyle w:val="Hyperlink"/>
          </w:rPr>
          <w:t>https://www.anna-dsb.com/upi-implementation-timeline/</w:t>
        </w:r>
      </w:hyperlink>
      <w:r>
        <w:t xml:space="preserve"> </w:t>
      </w:r>
    </w:p>
  </w:footnote>
  <w:footnote w:id="42">
    <w:p w14:paraId="62F81F08" w14:textId="77777777" w:rsidR="007625FD" w:rsidRPr="00F60A16" w:rsidRDefault="007625FD" w:rsidP="007625FD">
      <w:pPr>
        <w:pStyle w:val="FootnoteText"/>
        <w:rPr>
          <w:b/>
          <w:bCs/>
        </w:rPr>
      </w:pPr>
      <w:r>
        <w:rPr>
          <w:rStyle w:val="FootnoteReference"/>
        </w:rPr>
        <w:footnoteRef/>
      </w:r>
      <w:r>
        <w:t xml:space="preserve"> </w:t>
      </w:r>
      <w:hyperlink r:id="rId30" w:history="1">
        <w:r w:rsidRPr="00641F5F">
          <w:rPr>
            <w:rStyle w:val="Hyperlink"/>
          </w:rPr>
          <w:t>https://www.anna-dsb.com/upi/</w:t>
        </w:r>
      </w:hyperlink>
      <w:r>
        <w:t xml:space="preserve"> </w:t>
      </w:r>
    </w:p>
  </w:footnote>
  <w:footnote w:id="43">
    <w:p w14:paraId="15DF7BBB" w14:textId="77777777" w:rsidR="0003779A" w:rsidRPr="00D2043B" w:rsidRDefault="0003779A" w:rsidP="0003779A">
      <w:pPr>
        <w:pStyle w:val="FootnoteText"/>
        <w:rPr>
          <w:lang w:val="en-GB"/>
        </w:rPr>
      </w:pPr>
      <w:r>
        <w:rPr>
          <w:rStyle w:val="FootnoteReference"/>
        </w:rPr>
        <w:footnoteRef/>
      </w:r>
      <w:r w:rsidRPr="00D2043B">
        <w:rPr>
          <w:lang w:val="en-GB"/>
        </w:rPr>
        <w:t xml:space="preserve"> </w:t>
      </w:r>
      <w:r>
        <w:rPr>
          <w:lang w:val="en-GB"/>
        </w:rPr>
        <w:t>Services for which fees will be chargeable include the “</w:t>
      </w:r>
      <w:r w:rsidRPr="00D2043B">
        <w:rPr>
          <w:lang w:val="en-GB"/>
        </w:rPr>
        <w:t xml:space="preserve">Infrequent </w:t>
      </w:r>
      <w:r w:rsidRPr="00D2043B" w:rsidDel="00D3207B">
        <w:rPr>
          <w:lang w:val="en-GB"/>
        </w:rPr>
        <w:t>User</w:t>
      </w:r>
      <w:r>
        <w:rPr>
          <w:lang w:val="en-GB"/>
        </w:rPr>
        <w:t>”</w:t>
      </w:r>
      <w:r w:rsidRPr="00D2043B">
        <w:rPr>
          <w:lang w:val="en-GB"/>
        </w:rPr>
        <w:t xml:space="preserve">, </w:t>
      </w:r>
      <w:r>
        <w:rPr>
          <w:lang w:val="en-GB"/>
        </w:rPr>
        <w:t>“</w:t>
      </w:r>
      <w:r w:rsidRPr="00D2043B">
        <w:rPr>
          <w:lang w:val="en-GB"/>
        </w:rPr>
        <w:t>Stand</w:t>
      </w:r>
      <w:r>
        <w:rPr>
          <w:lang w:val="en-GB"/>
        </w:rPr>
        <w:t xml:space="preserve">ard </w:t>
      </w:r>
      <w:r w:rsidDel="00D3207B">
        <w:rPr>
          <w:lang w:val="en-GB"/>
        </w:rPr>
        <w:t>User</w:t>
      </w:r>
      <w:r>
        <w:rPr>
          <w:lang w:val="en-GB"/>
        </w:rPr>
        <w:t xml:space="preserve">”, “Search-only API </w:t>
      </w:r>
      <w:r w:rsidDel="00D3207B">
        <w:rPr>
          <w:lang w:val="en-GB"/>
        </w:rPr>
        <w:t>User</w:t>
      </w:r>
      <w:r>
        <w:rPr>
          <w:lang w:val="en-GB"/>
        </w:rPr>
        <w:t xml:space="preserve">”, and “Power </w:t>
      </w:r>
      <w:r w:rsidDel="00D3207B">
        <w:rPr>
          <w:lang w:val="en-GB"/>
        </w:rPr>
        <w:t>User</w:t>
      </w:r>
      <w:r>
        <w:rPr>
          <w:lang w:val="en-GB"/>
        </w:rPr>
        <w:t xml:space="preserve">” categories </w:t>
      </w:r>
    </w:p>
  </w:footnote>
  <w:footnote w:id="44">
    <w:p w14:paraId="399A74EC" w14:textId="77777777" w:rsidR="0003779A" w:rsidRDefault="0003779A" w:rsidP="0003779A">
      <w:pPr>
        <w:pStyle w:val="FootnoteText"/>
      </w:pPr>
      <w:r>
        <w:rPr>
          <w:rStyle w:val="FootnoteReference"/>
        </w:rPr>
        <w:footnoteRef/>
      </w:r>
      <w:r>
        <w:t xml:space="preserve"> Please refer to question 1</w:t>
      </w:r>
    </w:p>
  </w:footnote>
  <w:footnote w:id="45">
    <w:p w14:paraId="63CB5D28" w14:textId="77777777" w:rsidR="007625FD" w:rsidRDefault="007625FD" w:rsidP="007625FD">
      <w:pPr>
        <w:pStyle w:val="FootnoteText"/>
      </w:pPr>
      <w:r>
        <w:rPr>
          <w:rStyle w:val="FootnoteReference"/>
        </w:rPr>
        <w:footnoteRef/>
      </w:r>
      <w:r>
        <w:t xml:space="preserve"> Please refer to the UPI Fee Model Consultation Final Report for further detail - </w:t>
      </w:r>
      <w:hyperlink r:id="rId31" w:history="1">
        <w:r w:rsidRPr="00B84BE6">
          <w:rPr>
            <w:rStyle w:val="Hyperlink"/>
          </w:rPr>
          <w:t>https://www.anna-dsb.com/download/dsb-upi-fee-model-final-report/</w:t>
        </w:r>
      </w:hyperlink>
    </w:p>
  </w:footnote>
  <w:footnote w:id="46">
    <w:p w14:paraId="0BC1ACEA" w14:textId="77777777" w:rsidR="007625FD" w:rsidRDefault="007625FD" w:rsidP="007625FD">
      <w:pPr>
        <w:pStyle w:val="FootnoteText"/>
      </w:pPr>
      <w:r>
        <w:rPr>
          <w:rStyle w:val="FootnoteReference"/>
        </w:rPr>
        <w:footnoteRef/>
      </w:r>
      <w:r>
        <w:t xml:space="preserve"> More information about the DSB’s optional services is available here: </w:t>
      </w:r>
      <w:hyperlink r:id="rId32" w:history="1">
        <w:r w:rsidRPr="00574EBE">
          <w:rPr>
            <w:rStyle w:val="Hyperlink"/>
          </w:rPr>
          <w:t>https://www.anna-dsb.com/optional-services/</w:t>
        </w:r>
      </w:hyperlink>
      <w:r>
        <w:t xml:space="preserve"> </w:t>
      </w:r>
    </w:p>
  </w:footnote>
  <w:footnote w:id="47">
    <w:p w14:paraId="20133745" w14:textId="77777777" w:rsidR="007625FD" w:rsidRPr="00703A4C" w:rsidRDefault="007625FD" w:rsidP="007625FD">
      <w:pPr>
        <w:pStyle w:val="FootnoteText"/>
        <w:rPr>
          <w:lang w:val="en-GB"/>
        </w:rPr>
      </w:pPr>
      <w:r>
        <w:rPr>
          <w:rStyle w:val="FootnoteReference"/>
        </w:rPr>
        <w:footnoteRef/>
      </w:r>
      <w:r>
        <w:t xml:space="preserve"> </w:t>
      </w:r>
      <w:r>
        <w:rPr>
          <w:lang w:val="en-GB"/>
        </w:rPr>
        <w:t xml:space="preserve">DSB Access &amp; Usage Agreement effective 1 January 2022 - </w:t>
      </w:r>
      <w:r w:rsidRPr="00E87395">
        <w:rPr>
          <w:lang w:val="en-GB"/>
        </w:rPr>
        <w:t>https://www.anna-dsb.com/</w:t>
      </w:r>
      <w:r w:rsidRPr="00AD1FAE">
        <w:rPr>
          <w:lang w:val="en-GB"/>
        </w:rPr>
        <w:t>download/dsb-2022-ua-policies-final</w:t>
      </w:r>
      <w:r w:rsidRPr="00E87395">
        <w:rPr>
          <w:lang w:val="en-GB"/>
        </w:rPr>
        <w:t>/</w:t>
      </w:r>
    </w:p>
  </w:footnote>
  <w:footnote w:id="48">
    <w:p w14:paraId="1C3C16A1" w14:textId="77777777" w:rsidR="007625FD" w:rsidRPr="006A5306" w:rsidRDefault="007625FD" w:rsidP="007625FD">
      <w:pPr>
        <w:pStyle w:val="FootnoteText"/>
        <w:rPr>
          <w:lang w:val="en-GB"/>
        </w:rPr>
      </w:pPr>
      <w:r>
        <w:rPr>
          <w:rStyle w:val="FootnoteReference"/>
        </w:rPr>
        <w:footnoteRef/>
      </w:r>
      <w:r>
        <w:t xml:space="preserve"> Available here for review: </w:t>
      </w:r>
      <w:hyperlink r:id="rId33" w:history="1">
        <w:r w:rsidRPr="00574EBE">
          <w:rPr>
            <w:rStyle w:val="Hyperlink"/>
          </w:rPr>
          <w:t>https://www.anna-dsb.com/download/dsb-2022-ua-policies-final/</w:t>
        </w:r>
      </w:hyperlink>
    </w:p>
  </w:footnote>
  <w:footnote w:id="49">
    <w:p w14:paraId="483CD9AE" w14:textId="77777777" w:rsidR="007625FD" w:rsidRDefault="007625FD" w:rsidP="007625FD">
      <w:pPr>
        <w:pStyle w:val="FootnoteText"/>
      </w:pPr>
      <w:r>
        <w:rPr>
          <w:rStyle w:val="FootnoteReference"/>
        </w:rPr>
        <w:footnoteRef/>
      </w:r>
      <w:r>
        <w:t xml:space="preserve"> </w:t>
      </w:r>
      <w:r w:rsidRPr="004C1687">
        <w:t>See</w:t>
      </w:r>
      <w:r>
        <w:t xml:space="preserve"> Footnote 44 </w:t>
      </w:r>
    </w:p>
  </w:footnote>
  <w:footnote w:id="50">
    <w:p w14:paraId="6177D514" w14:textId="77777777" w:rsidR="007625FD" w:rsidRPr="00B14746" w:rsidRDefault="007625FD" w:rsidP="007625FD">
      <w:pPr>
        <w:pStyle w:val="FootnoteText"/>
        <w:rPr>
          <w:lang w:val="en-GB"/>
        </w:rPr>
      </w:pPr>
      <w:r>
        <w:rPr>
          <w:rStyle w:val="FootnoteReference"/>
        </w:rPr>
        <w:footnoteRef/>
      </w:r>
      <w:r>
        <w:t xml:space="preserve"> Affiliates means: </w:t>
      </w:r>
      <w:r>
        <w:rPr>
          <w:rFonts w:cs="Arial"/>
        </w:rPr>
        <w:t xml:space="preserve">(a) any corporation, entity or other business Controlled by, Controlling and under common Control with a party, with </w:t>
      </w:r>
      <w:r w:rsidRPr="009D7E61">
        <w:rPr>
          <w:rFonts w:cs="Arial"/>
        </w:rPr>
        <w:t>“Control”</w:t>
      </w:r>
      <w:r>
        <w:rPr>
          <w:rFonts w:cs="Arial"/>
        </w:rPr>
        <w:t xml:space="preserve"> meaning the ownership of more than fifty percent (50%) of outstanding shares or securities, or an equivalent ownership interest, or the power to direct or cause the direction or management of the policies or affairs of an entity whether through ownership of shares, voting rights, control of the board of directors (or equivalent), by contract or otherwise; and (b) </w:t>
      </w:r>
      <w:bookmarkStart w:id="78" w:name="_Hlk521588215"/>
      <w:r>
        <w:rPr>
          <w:rFonts w:cs="Arial"/>
        </w:rPr>
        <w:t xml:space="preserve">for a period of not more than six (6) months from (and including) the effective date of disposal or until the end of the Term (whichever is earlier), each </w:t>
      </w:r>
      <w:proofErr w:type="spellStart"/>
      <w:r>
        <w:rPr>
          <w:rFonts w:cs="Arial"/>
        </w:rPr>
        <w:t>Divestee</w:t>
      </w:r>
      <w:bookmarkEnd w:id="78"/>
      <w:proofErr w:type="spellEnd"/>
      <w:r>
        <w:rPr>
          <w:rFonts w:cs="Arial"/>
        </w:rPr>
        <w:t xml:space="preserve">, based on a specific Organisation Type as outlined in section 5.4. </w:t>
      </w:r>
    </w:p>
  </w:footnote>
  <w:footnote w:id="51">
    <w:p w14:paraId="4D365D8C" w14:textId="77777777" w:rsidR="007625FD" w:rsidRPr="005755A0" w:rsidRDefault="007625FD" w:rsidP="007625FD">
      <w:pPr>
        <w:pStyle w:val="FootnoteText"/>
        <w:rPr>
          <w:lang w:val="en-GB"/>
        </w:rPr>
      </w:pPr>
      <w:r>
        <w:rPr>
          <w:rStyle w:val="FootnoteReference"/>
        </w:rPr>
        <w:footnoteRef/>
      </w:r>
      <w:r>
        <w:t xml:space="preserve"> </w:t>
      </w:r>
      <w:r w:rsidRPr="005755A0">
        <w:t>https://www.gleif.org/en/about-lei/get-an-lei-find-lei-issuing-organizations</w:t>
      </w:r>
    </w:p>
  </w:footnote>
  <w:footnote w:id="52">
    <w:p w14:paraId="39AF924F" w14:textId="66EE0819" w:rsidR="007625FD" w:rsidRDefault="007625FD" w:rsidP="007625FD">
      <w:pPr>
        <w:pStyle w:val="FootnoteText"/>
      </w:pPr>
      <w:r>
        <w:rPr>
          <w:rStyle w:val="FootnoteReference"/>
        </w:rPr>
        <w:footnoteRef/>
      </w:r>
      <w:r>
        <w:t xml:space="preserve"> See section </w:t>
      </w:r>
      <w:r w:rsidR="00D1365B">
        <w:fldChar w:fldCharType="begin"/>
      </w:r>
      <w:r w:rsidR="00D1365B">
        <w:instrText xml:space="preserve"> REF _Ref83800792 \r \h </w:instrText>
      </w:r>
      <w:r w:rsidR="00D1365B">
        <w:fldChar w:fldCharType="separate"/>
      </w:r>
      <w:r w:rsidR="00D1365B">
        <w:t>5.5</w:t>
      </w:r>
      <w:r w:rsidR="00D1365B">
        <w:fldChar w:fldCharType="end"/>
      </w:r>
      <w:r w:rsidR="00D1365B">
        <w:t xml:space="preserve"> </w:t>
      </w:r>
      <w:r>
        <w:t>for further detail on pre-payment.</w:t>
      </w:r>
    </w:p>
  </w:footnote>
  <w:footnote w:id="53">
    <w:p w14:paraId="1F8CC15C" w14:textId="77777777" w:rsidR="007625FD" w:rsidRPr="00C56D48" w:rsidRDefault="007625FD" w:rsidP="007625FD">
      <w:pPr>
        <w:pStyle w:val="FootnoteText"/>
        <w:rPr>
          <w:lang w:val="en-GB"/>
        </w:rPr>
      </w:pPr>
      <w:r>
        <w:rPr>
          <w:rStyle w:val="FootnoteReference"/>
        </w:rPr>
        <w:footnoteRef/>
      </w:r>
      <w:r>
        <w:t xml:space="preserve"> </w:t>
      </w:r>
      <w:r>
        <w:rPr>
          <w:lang w:val="en-GB"/>
        </w:rPr>
        <w:t>See Footnote 44</w:t>
      </w:r>
    </w:p>
  </w:footnote>
  <w:footnote w:id="54">
    <w:p w14:paraId="75E2A608" w14:textId="77777777" w:rsidR="007625FD" w:rsidRPr="00FD0F1C" w:rsidRDefault="007625FD" w:rsidP="007625FD">
      <w:pPr>
        <w:pStyle w:val="FootnoteText"/>
        <w:rPr>
          <w:lang w:val="en-GB"/>
        </w:rPr>
      </w:pPr>
      <w:r>
        <w:rPr>
          <w:rStyle w:val="FootnoteReference"/>
        </w:rPr>
        <w:footnoteRef/>
      </w:r>
      <w:r>
        <w:t xml:space="preserve"> </w:t>
      </w:r>
      <w:r w:rsidRPr="00FD0F1C">
        <w:t>https://www.anna-dsb.com/download/dsb-2021-consultation-final-report/</w:t>
      </w:r>
    </w:p>
  </w:footnote>
  <w:footnote w:id="55">
    <w:p w14:paraId="13088947" w14:textId="77777777" w:rsidR="007625FD" w:rsidRPr="00EF3FD5" w:rsidRDefault="007625FD" w:rsidP="007625FD">
      <w:pPr>
        <w:pStyle w:val="FootnoteText"/>
        <w:rPr>
          <w:lang w:val="en-GB"/>
        </w:rPr>
      </w:pPr>
      <w:r>
        <w:rPr>
          <w:rStyle w:val="FootnoteReference"/>
        </w:rPr>
        <w:footnoteRef/>
      </w:r>
      <w:r>
        <w:t xml:space="preserve"> </w:t>
      </w:r>
      <w:r w:rsidRPr="00247D42">
        <w:t>https://www.lcia.org/Dispute_Resolution_Services/LCIA_Arbitration.aspx</w:t>
      </w:r>
    </w:p>
  </w:footnote>
  <w:footnote w:id="56">
    <w:p w14:paraId="498732BF" w14:textId="77777777" w:rsidR="007625FD" w:rsidRPr="00EF3FD5" w:rsidRDefault="007625FD" w:rsidP="007625FD">
      <w:pPr>
        <w:pStyle w:val="FootnoteText"/>
        <w:rPr>
          <w:lang w:val="en-GB"/>
        </w:rPr>
      </w:pPr>
      <w:r>
        <w:rPr>
          <w:rStyle w:val="FootnoteReference"/>
        </w:rPr>
        <w:footnoteRef/>
      </w:r>
      <w:r>
        <w:t xml:space="preserve"> </w:t>
      </w:r>
      <w:r w:rsidRPr="00EF3FD5">
        <w:t>https://iccwbo.org/dispute-resolution-services/</w:t>
      </w:r>
    </w:p>
  </w:footnote>
  <w:footnote w:id="57">
    <w:p w14:paraId="73F47C2B" w14:textId="0E1DCF5E" w:rsidR="008653CA" w:rsidRPr="00743200" w:rsidRDefault="008653CA">
      <w:pPr>
        <w:pStyle w:val="FootnoteText"/>
        <w:rPr>
          <w:lang w:val="en-GB"/>
        </w:rPr>
      </w:pPr>
      <w:r>
        <w:rPr>
          <w:rStyle w:val="FootnoteReference"/>
        </w:rPr>
        <w:footnoteRef/>
      </w:r>
      <w:r>
        <w:t xml:space="preserve"> </w:t>
      </w:r>
      <w:hyperlink r:id="rId34" w:history="1">
        <w:r w:rsidRPr="005F5A8C">
          <w:rPr>
            <w:rStyle w:val="Hyperlink"/>
          </w:rPr>
          <w:t>https://www.anna-dsb.com/fee-model-variables/</w:t>
        </w:r>
      </w:hyperlink>
      <w:r>
        <w:t xml:space="preserve"> </w:t>
      </w:r>
    </w:p>
  </w:footnote>
  <w:footnote w:id="58">
    <w:p w14:paraId="361A1B1B" w14:textId="138A053A" w:rsidR="001C68EC" w:rsidRPr="004B6643" w:rsidRDefault="001C68EC">
      <w:pPr>
        <w:pStyle w:val="FootnoteText"/>
        <w:rPr>
          <w:lang w:val="en-GB"/>
        </w:rPr>
      </w:pPr>
      <w:r>
        <w:rPr>
          <w:rStyle w:val="FootnoteReference"/>
        </w:rPr>
        <w:footnoteRef/>
      </w:r>
      <w:r>
        <w:t xml:space="preserve"> </w:t>
      </w:r>
      <w:r w:rsidR="00335207" w:rsidRPr="00335207">
        <w:t>https://www.anna-dsb.com/financial-accounts/</w:t>
      </w:r>
    </w:p>
  </w:footnote>
  <w:footnote w:id="59">
    <w:p w14:paraId="4CD22FE4" w14:textId="0E128106" w:rsidR="00FF1CF4" w:rsidRPr="00FF1CF4" w:rsidRDefault="00FF1CF4">
      <w:pPr>
        <w:pStyle w:val="FootnoteText"/>
        <w:rPr>
          <w:lang w:val="en-GB"/>
        </w:rPr>
      </w:pPr>
      <w:r>
        <w:rPr>
          <w:rStyle w:val="FootnoteReference"/>
        </w:rPr>
        <w:footnoteRef/>
      </w:r>
      <w:r>
        <w:t xml:space="preserve"> </w:t>
      </w:r>
      <w:r w:rsidRPr="00FF1CF4">
        <w:t>https://www.anna-dsb.com/download/roc-dsb-mou/</w:t>
      </w:r>
    </w:p>
  </w:footnote>
  <w:footnote w:id="60">
    <w:p w14:paraId="7BC7C73F" w14:textId="4F6261C9" w:rsidR="007625FD" w:rsidRPr="002D24AB" w:rsidRDefault="007625FD" w:rsidP="007625FD">
      <w:pPr>
        <w:pStyle w:val="FootnoteText"/>
        <w:rPr>
          <w:rFonts w:ascii="Calibri" w:hAnsi="Calibri" w:cs="Calibri"/>
        </w:rPr>
      </w:pPr>
      <w:r>
        <w:rPr>
          <w:rStyle w:val="FootnoteReference"/>
        </w:rPr>
        <w:footnoteRef/>
      </w:r>
      <w:r>
        <w:t xml:space="preserve"> </w:t>
      </w:r>
      <w:hyperlink r:id="rId35" w:history="1">
        <w:r w:rsidR="00726E53" w:rsidRPr="000B2AAE">
          <w:rPr>
            <w:rStyle w:val="Hyperlink"/>
          </w:rPr>
          <w:t>https://anna-dsb-events.webex.com/webappng/sites/anna-dsb-events/meeting/register/ee87295c47214e4aa44eaf9ed8116fc8?ticket=4832534b000000052b84e39a0be43a15170e0d0cfcad535d9cc15f2842c8beccf027cff832d454d7&amp;timestamp=1635776647870&amp;locale=en_US</w:t>
        </w:r>
      </w:hyperlink>
      <w:r w:rsidR="00726E53">
        <w:t xml:space="preserve"> </w:t>
      </w:r>
      <w:r w:rsidRPr="002D24AB">
        <w:rPr>
          <w:rFonts w:ascii="Calibri" w:hAnsi="Calibri" w:cs="Calibri"/>
          <w:color w:val="000000"/>
        </w:rPr>
        <w:t xml:space="preserve"> </w:t>
      </w:r>
      <w:r w:rsidRPr="002D24AB">
        <w:rPr>
          <w:rFonts w:ascii="Calibri" w:hAnsi="Calibri" w:cs="Calibri"/>
        </w:rPr>
        <w:t>6am GMT, 5pm Sydney, 3pm Tokyo, 2pm Singapore/Hong Kong</w:t>
      </w:r>
    </w:p>
  </w:footnote>
  <w:footnote w:id="61">
    <w:p w14:paraId="3A33ADC7" w14:textId="7C48A8B1" w:rsidR="007625FD" w:rsidRPr="00906380" w:rsidRDefault="007625FD" w:rsidP="007625FD">
      <w:pPr>
        <w:rPr>
          <w:lang w:val="de-DE"/>
        </w:rPr>
      </w:pPr>
      <w:r w:rsidRPr="002D24AB">
        <w:rPr>
          <w:rStyle w:val="FootnoteReference"/>
          <w:rFonts w:ascii="Calibri" w:hAnsi="Calibri" w:cs="Calibri"/>
          <w:sz w:val="20"/>
          <w:szCs w:val="20"/>
        </w:rPr>
        <w:footnoteRef/>
      </w:r>
      <w:r w:rsidRPr="00906380">
        <w:rPr>
          <w:rFonts w:ascii="Calibri" w:hAnsi="Calibri" w:cs="Calibri"/>
          <w:sz w:val="20"/>
          <w:szCs w:val="20"/>
          <w:lang w:val="de-DE"/>
        </w:rPr>
        <w:t xml:space="preserve"> </w:t>
      </w:r>
      <w:hyperlink r:id="rId36" w:history="1">
        <w:r w:rsidRPr="00906380">
          <w:rPr>
            <w:rFonts w:ascii="Calibri" w:hAnsi="Calibri" w:cs="Calibri"/>
            <w:color w:val="0096D6"/>
            <w:sz w:val="20"/>
            <w:szCs w:val="20"/>
            <w:u w:val="single"/>
            <w:lang w:val="de-DE"/>
          </w:rPr>
          <w:br/>
        </w:r>
      </w:hyperlink>
      <w:r w:rsidR="000062C4" w:rsidRPr="00FB07F8">
        <w:rPr>
          <w:rStyle w:val="Hyperlink"/>
          <w:rFonts w:ascii="Calibri" w:hAnsi="Calibri" w:cs="Calibri"/>
          <w:color w:val="0096D6"/>
          <w:sz w:val="20"/>
          <w:szCs w:val="20"/>
          <w:lang w:val="de-DE"/>
        </w:rPr>
        <w:t>https://anna-dsb-events.webex.com/webappng/sites/anna-dsb-events/meeting/register/5e75d5702e5047398268ee8ced69c53e?ticket=4832534b0000000540c48c74dc79b8870fa0a69cd8805153d68f01ad804663a1c7428060f3db6d83&amp;timestamp=1635776671585&amp;locale=en_US</w:t>
      </w:r>
      <w:r w:rsidRPr="00906380">
        <w:rPr>
          <w:rFonts w:ascii="Calibri" w:hAnsi="Calibri" w:cs="Calibri"/>
          <w:color w:val="000000"/>
          <w:sz w:val="20"/>
          <w:szCs w:val="20"/>
          <w:lang w:val="de-DE"/>
        </w:rPr>
        <w:t xml:space="preserve"> </w:t>
      </w:r>
      <w:r w:rsidRPr="00906380">
        <w:rPr>
          <w:rFonts w:ascii="Calibri" w:hAnsi="Calibri" w:cs="Calibri"/>
          <w:sz w:val="20"/>
          <w:szCs w:val="20"/>
          <w:lang w:val="de-DE"/>
        </w:rPr>
        <w:t xml:space="preserve"> 1pm GMT, 2pm CET, 8am EST, 5am PST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5903"/>
    <w:multiLevelType w:val="multilevel"/>
    <w:tmpl w:val="F7122740"/>
    <w:lvl w:ilvl="0">
      <w:start w:val="1"/>
      <w:numFmt w:val="decimal"/>
      <w:pStyle w:val="Heading1"/>
      <w:lvlText w:val="%1"/>
      <w:lvlJc w:val="left"/>
      <w:pPr>
        <w:ind w:left="52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A30224"/>
    <w:multiLevelType w:val="hybridMultilevel"/>
    <w:tmpl w:val="B7E68D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6B1B23"/>
    <w:multiLevelType w:val="hybridMultilevel"/>
    <w:tmpl w:val="0704772A"/>
    <w:lvl w:ilvl="0" w:tplc="83863F3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ED4E7F"/>
    <w:multiLevelType w:val="hybridMultilevel"/>
    <w:tmpl w:val="59DCA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85E5359"/>
    <w:multiLevelType w:val="hybridMultilevel"/>
    <w:tmpl w:val="119AB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ED4D92"/>
    <w:multiLevelType w:val="hybridMultilevel"/>
    <w:tmpl w:val="441AF2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BD24CA1"/>
    <w:multiLevelType w:val="hybridMultilevel"/>
    <w:tmpl w:val="F23EDFE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17E5D14"/>
    <w:multiLevelType w:val="hybridMultilevel"/>
    <w:tmpl w:val="27FE9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1633F1"/>
    <w:multiLevelType w:val="hybridMultilevel"/>
    <w:tmpl w:val="0264F806"/>
    <w:lvl w:ilvl="0" w:tplc="FFFFFFFF">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F450813"/>
    <w:multiLevelType w:val="multilevel"/>
    <w:tmpl w:val="6CA46850"/>
    <w:name w:val="_Standard-415767817-F"/>
    <w:styleLink w:val="StandardList"/>
    <w:lvl w:ilvl="0">
      <w:start w:val="1"/>
      <w:numFmt w:val="decimal"/>
      <w:lvlRestart w:val="0"/>
      <w:pStyle w:val="StandardL1"/>
      <w:lvlText w:val="%1"/>
      <w:lvlJc w:val="right"/>
      <w:pPr>
        <w:tabs>
          <w:tab w:val="num" w:pos="567"/>
        </w:tabs>
        <w:ind w:left="567" w:hanging="452"/>
      </w:pPr>
      <w:rPr>
        <w:rFonts w:ascii="Arial" w:hAnsi="Arial" w:cs="Arial"/>
        <w:b/>
        <w:sz w:val="24"/>
      </w:rPr>
    </w:lvl>
    <w:lvl w:ilvl="1">
      <w:start w:val="1"/>
      <w:numFmt w:val="decimal"/>
      <w:pStyle w:val="StandardL2"/>
      <w:lvlText w:val="%1.%2"/>
      <w:lvlJc w:val="right"/>
      <w:pPr>
        <w:tabs>
          <w:tab w:val="num" w:pos="567"/>
        </w:tabs>
        <w:ind w:left="567" w:hanging="452"/>
      </w:pPr>
      <w:rPr>
        <w:rFonts w:ascii="Arial" w:hAnsi="Arial" w:cs="Arial"/>
        <w:sz w:val="20"/>
      </w:rPr>
    </w:lvl>
    <w:lvl w:ilvl="2">
      <w:start w:val="1"/>
      <w:numFmt w:val="lowerLetter"/>
      <w:pStyle w:val="StandardL3"/>
      <w:lvlText w:val="(%3)"/>
      <w:lvlJc w:val="left"/>
      <w:pPr>
        <w:tabs>
          <w:tab w:val="num" w:pos="1134"/>
        </w:tabs>
        <w:ind w:left="1134" w:hanging="578"/>
      </w:pPr>
      <w:rPr>
        <w:rFonts w:ascii="Arial" w:hAnsi="Arial" w:cs="Arial"/>
        <w:sz w:val="20"/>
      </w:rPr>
    </w:lvl>
    <w:lvl w:ilvl="3">
      <w:start w:val="1"/>
      <w:numFmt w:val="lowerRoman"/>
      <w:pStyle w:val="StandardL4"/>
      <w:lvlText w:val="(%4)"/>
      <w:lvlJc w:val="left"/>
      <w:pPr>
        <w:tabs>
          <w:tab w:val="num" w:pos="1701"/>
        </w:tabs>
        <w:ind w:left="1701" w:hanging="567"/>
      </w:pPr>
      <w:rPr>
        <w:rFonts w:ascii="Arial" w:hAnsi="Arial" w:cs="Arial"/>
        <w:sz w:val="20"/>
      </w:rPr>
    </w:lvl>
    <w:lvl w:ilvl="4">
      <w:start w:val="1"/>
      <w:numFmt w:val="upperLetter"/>
      <w:pStyle w:val="StandardL5"/>
      <w:lvlText w:val="(%5)"/>
      <w:lvlJc w:val="left"/>
      <w:pPr>
        <w:tabs>
          <w:tab w:val="num" w:pos="2268"/>
        </w:tabs>
        <w:ind w:left="2268" w:hanging="567"/>
      </w:pPr>
      <w:rPr>
        <w:rFonts w:ascii="Arial" w:hAnsi="Arial" w:cs="Arial"/>
        <w:sz w:val="20"/>
      </w:rPr>
    </w:lvl>
    <w:lvl w:ilvl="5">
      <w:start w:val="1"/>
      <w:numFmt w:val="decimal"/>
      <w:pStyle w:val="StandardL6"/>
      <w:lvlText w:val="(%6)"/>
      <w:lvlJc w:val="left"/>
      <w:pPr>
        <w:tabs>
          <w:tab w:val="num" w:pos="2835"/>
        </w:tabs>
        <w:ind w:left="2835" w:hanging="567"/>
      </w:pPr>
      <w:rPr>
        <w:rFonts w:ascii="Arial" w:hAnsi="Arial" w:cs="Arial"/>
        <w:sz w:val="20"/>
      </w:rPr>
    </w:lvl>
    <w:lvl w:ilvl="6">
      <w:start w:val="1"/>
      <w:numFmt w:val="upperRoman"/>
      <w:pStyle w:val="StandardL7"/>
      <w:lvlText w:val="(%7)"/>
      <w:lvlJc w:val="left"/>
      <w:pPr>
        <w:tabs>
          <w:tab w:val="num" w:pos="3402"/>
        </w:tabs>
        <w:ind w:left="3402" w:hanging="567"/>
      </w:pPr>
      <w:rPr>
        <w:rFonts w:ascii="Arial" w:hAnsi="Arial" w:cs="Arial"/>
        <w:sz w:val="20"/>
      </w:rPr>
    </w:lvl>
    <w:lvl w:ilvl="7">
      <w:start w:val="1"/>
      <w:numFmt w:val="lowerLetter"/>
      <w:pStyle w:val="StandardL8"/>
      <w:lvlText w:val="%8."/>
      <w:lvlJc w:val="left"/>
      <w:pPr>
        <w:tabs>
          <w:tab w:val="num" w:pos="3969"/>
        </w:tabs>
        <w:ind w:left="3969" w:hanging="567"/>
      </w:pPr>
      <w:rPr>
        <w:rFonts w:ascii="Arial" w:hAnsi="Arial" w:cs="Arial"/>
        <w:sz w:val="20"/>
      </w:rPr>
    </w:lvl>
    <w:lvl w:ilvl="8">
      <w:start w:val="1"/>
      <w:numFmt w:val="lowerRoman"/>
      <w:pStyle w:val="StandardL9"/>
      <w:lvlText w:val="%9."/>
      <w:lvlJc w:val="left"/>
      <w:pPr>
        <w:tabs>
          <w:tab w:val="num" w:pos="4535"/>
        </w:tabs>
        <w:ind w:left="4535" w:hanging="566"/>
      </w:pPr>
      <w:rPr>
        <w:rFonts w:ascii="Arial" w:hAnsi="Arial" w:cs="Arial"/>
        <w:sz w:val="20"/>
      </w:rPr>
    </w:lvl>
  </w:abstractNum>
  <w:abstractNum w:abstractNumId="10" w15:restartNumberingAfterBreak="0">
    <w:nsid w:val="411463A3"/>
    <w:multiLevelType w:val="hybridMultilevel"/>
    <w:tmpl w:val="59DCC940"/>
    <w:lvl w:ilvl="0" w:tplc="0809001B">
      <w:start w:val="1"/>
      <w:numFmt w:val="lowerRoman"/>
      <w:lvlText w:val="%1."/>
      <w:lvlJc w:val="right"/>
      <w:pPr>
        <w:ind w:left="720" w:hanging="360"/>
      </w:pPr>
      <w:rPr>
        <w:rFonts w:hint="default"/>
      </w:rPr>
    </w:lvl>
    <w:lvl w:ilvl="1" w:tplc="08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BC0000"/>
    <w:multiLevelType w:val="hybridMultilevel"/>
    <w:tmpl w:val="7276BBD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C261DA0"/>
    <w:multiLevelType w:val="hybridMultilevel"/>
    <w:tmpl w:val="8998F39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FCB715D"/>
    <w:multiLevelType w:val="hybridMultilevel"/>
    <w:tmpl w:val="2474D48E"/>
    <w:lvl w:ilvl="0" w:tplc="08090001">
      <w:start w:val="1"/>
      <w:numFmt w:val="bullet"/>
      <w:lvlText w:val=""/>
      <w:lvlJc w:val="left"/>
      <w:pPr>
        <w:ind w:left="-338" w:hanging="360"/>
      </w:pPr>
      <w:rPr>
        <w:rFonts w:ascii="Symbol" w:hAnsi="Symbol" w:hint="default"/>
      </w:rPr>
    </w:lvl>
    <w:lvl w:ilvl="1" w:tplc="08090003">
      <w:start w:val="1"/>
      <w:numFmt w:val="bullet"/>
      <w:lvlText w:val="o"/>
      <w:lvlJc w:val="left"/>
      <w:pPr>
        <w:ind w:left="382" w:hanging="360"/>
      </w:pPr>
      <w:rPr>
        <w:rFonts w:ascii="Courier New" w:hAnsi="Courier New" w:cs="Courier New" w:hint="default"/>
      </w:rPr>
    </w:lvl>
    <w:lvl w:ilvl="2" w:tplc="0809001B">
      <w:start w:val="1"/>
      <w:numFmt w:val="lowerRoman"/>
      <w:lvlText w:val="%3."/>
      <w:lvlJc w:val="right"/>
      <w:pPr>
        <w:ind w:left="1102" w:hanging="360"/>
      </w:pPr>
      <w:rPr>
        <w:rFonts w:hint="default"/>
      </w:rPr>
    </w:lvl>
    <w:lvl w:ilvl="3" w:tplc="08090001" w:tentative="1">
      <w:start w:val="1"/>
      <w:numFmt w:val="bullet"/>
      <w:lvlText w:val=""/>
      <w:lvlJc w:val="left"/>
      <w:pPr>
        <w:ind w:left="1822" w:hanging="360"/>
      </w:pPr>
      <w:rPr>
        <w:rFonts w:ascii="Symbol" w:hAnsi="Symbol" w:hint="default"/>
      </w:rPr>
    </w:lvl>
    <w:lvl w:ilvl="4" w:tplc="08090003" w:tentative="1">
      <w:start w:val="1"/>
      <w:numFmt w:val="bullet"/>
      <w:lvlText w:val="o"/>
      <w:lvlJc w:val="left"/>
      <w:pPr>
        <w:ind w:left="2542" w:hanging="360"/>
      </w:pPr>
      <w:rPr>
        <w:rFonts w:ascii="Courier New" w:hAnsi="Courier New" w:cs="Courier New" w:hint="default"/>
      </w:rPr>
    </w:lvl>
    <w:lvl w:ilvl="5" w:tplc="08090005" w:tentative="1">
      <w:start w:val="1"/>
      <w:numFmt w:val="bullet"/>
      <w:lvlText w:val=""/>
      <w:lvlJc w:val="left"/>
      <w:pPr>
        <w:ind w:left="3262" w:hanging="360"/>
      </w:pPr>
      <w:rPr>
        <w:rFonts w:ascii="Wingdings" w:hAnsi="Wingdings" w:hint="default"/>
      </w:rPr>
    </w:lvl>
    <w:lvl w:ilvl="6" w:tplc="08090001" w:tentative="1">
      <w:start w:val="1"/>
      <w:numFmt w:val="bullet"/>
      <w:lvlText w:val=""/>
      <w:lvlJc w:val="left"/>
      <w:pPr>
        <w:ind w:left="3982" w:hanging="360"/>
      </w:pPr>
      <w:rPr>
        <w:rFonts w:ascii="Symbol" w:hAnsi="Symbol" w:hint="default"/>
      </w:rPr>
    </w:lvl>
    <w:lvl w:ilvl="7" w:tplc="08090003" w:tentative="1">
      <w:start w:val="1"/>
      <w:numFmt w:val="bullet"/>
      <w:lvlText w:val="o"/>
      <w:lvlJc w:val="left"/>
      <w:pPr>
        <w:ind w:left="4702" w:hanging="360"/>
      </w:pPr>
      <w:rPr>
        <w:rFonts w:ascii="Courier New" w:hAnsi="Courier New" w:cs="Courier New" w:hint="default"/>
      </w:rPr>
    </w:lvl>
    <w:lvl w:ilvl="8" w:tplc="08090005" w:tentative="1">
      <w:start w:val="1"/>
      <w:numFmt w:val="bullet"/>
      <w:lvlText w:val=""/>
      <w:lvlJc w:val="left"/>
      <w:pPr>
        <w:ind w:left="5422" w:hanging="360"/>
      </w:pPr>
      <w:rPr>
        <w:rFonts w:ascii="Wingdings" w:hAnsi="Wingdings" w:hint="default"/>
      </w:rPr>
    </w:lvl>
  </w:abstractNum>
  <w:abstractNum w:abstractNumId="14" w15:restartNumberingAfterBreak="0">
    <w:nsid w:val="509D6D08"/>
    <w:multiLevelType w:val="hybridMultilevel"/>
    <w:tmpl w:val="FD1A7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32575AF"/>
    <w:multiLevelType w:val="hybridMultilevel"/>
    <w:tmpl w:val="2CFE8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400290"/>
    <w:multiLevelType w:val="hybridMultilevel"/>
    <w:tmpl w:val="F7C26520"/>
    <w:lvl w:ilvl="0" w:tplc="08090001">
      <w:start w:val="1"/>
      <w:numFmt w:val="bullet"/>
      <w:lvlText w:val=""/>
      <w:lvlJc w:val="left"/>
      <w:pPr>
        <w:ind w:left="-338" w:hanging="360"/>
      </w:pPr>
      <w:rPr>
        <w:rFonts w:ascii="Symbol" w:hAnsi="Symbol" w:hint="default"/>
      </w:rPr>
    </w:lvl>
    <w:lvl w:ilvl="1" w:tplc="08090003">
      <w:start w:val="1"/>
      <w:numFmt w:val="bullet"/>
      <w:lvlText w:val="o"/>
      <w:lvlJc w:val="left"/>
      <w:pPr>
        <w:ind w:left="382" w:hanging="360"/>
      </w:pPr>
      <w:rPr>
        <w:rFonts w:ascii="Courier New" w:hAnsi="Courier New" w:cs="Courier New" w:hint="default"/>
      </w:rPr>
    </w:lvl>
    <w:lvl w:ilvl="2" w:tplc="0809001B">
      <w:start w:val="1"/>
      <w:numFmt w:val="lowerRoman"/>
      <w:lvlText w:val="%3."/>
      <w:lvlJc w:val="right"/>
      <w:pPr>
        <w:ind w:left="1102" w:hanging="360"/>
      </w:pPr>
      <w:rPr>
        <w:rFonts w:hint="default"/>
      </w:rPr>
    </w:lvl>
    <w:lvl w:ilvl="3" w:tplc="08090001" w:tentative="1">
      <w:start w:val="1"/>
      <w:numFmt w:val="bullet"/>
      <w:lvlText w:val=""/>
      <w:lvlJc w:val="left"/>
      <w:pPr>
        <w:ind w:left="1822" w:hanging="360"/>
      </w:pPr>
      <w:rPr>
        <w:rFonts w:ascii="Symbol" w:hAnsi="Symbol" w:hint="default"/>
      </w:rPr>
    </w:lvl>
    <w:lvl w:ilvl="4" w:tplc="08090003" w:tentative="1">
      <w:start w:val="1"/>
      <w:numFmt w:val="bullet"/>
      <w:lvlText w:val="o"/>
      <w:lvlJc w:val="left"/>
      <w:pPr>
        <w:ind w:left="2542" w:hanging="360"/>
      </w:pPr>
      <w:rPr>
        <w:rFonts w:ascii="Courier New" w:hAnsi="Courier New" w:cs="Courier New" w:hint="default"/>
      </w:rPr>
    </w:lvl>
    <w:lvl w:ilvl="5" w:tplc="08090005" w:tentative="1">
      <w:start w:val="1"/>
      <w:numFmt w:val="bullet"/>
      <w:lvlText w:val=""/>
      <w:lvlJc w:val="left"/>
      <w:pPr>
        <w:ind w:left="3262" w:hanging="360"/>
      </w:pPr>
      <w:rPr>
        <w:rFonts w:ascii="Wingdings" w:hAnsi="Wingdings" w:hint="default"/>
      </w:rPr>
    </w:lvl>
    <w:lvl w:ilvl="6" w:tplc="08090001" w:tentative="1">
      <w:start w:val="1"/>
      <w:numFmt w:val="bullet"/>
      <w:lvlText w:val=""/>
      <w:lvlJc w:val="left"/>
      <w:pPr>
        <w:ind w:left="3982" w:hanging="360"/>
      </w:pPr>
      <w:rPr>
        <w:rFonts w:ascii="Symbol" w:hAnsi="Symbol" w:hint="default"/>
      </w:rPr>
    </w:lvl>
    <w:lvl w:ilvl="7" w:tplc="08090003" w:tentative="1">
      <w:start w:val="1"/>
      <w:numFmt w:val="bullet"/>
      <w:lvlText w:val="o"/>
      <w:lvlJc w:val="left"/>
      <w:pPr>
        <w:ind w:left="4702" w:hanging="360"/>
      </w:pPr>
      <w:rPr>
        <w:rFonts w:ascii="Courier New" w:hAnsi="Courier New" w:cs="Courier New" w:hint="default"/>
      </w:rPr>
    </w:lvl>
    <w:lvl w:ilvl="8" w:tplc="08090005" w:tentative="1">
      <w:start w:val="1"/>
      <w:numFmt w:val="bullet"/>
      <w:lvlText w:val=""/>
      <w:lvlJc w:val="left"/>
      <w:pPr>
        <w:ind w:left="5422" w:hanging="360"/>
      </w:pPr>
      <w:rPr>
        <w:rFonts w:ascii="Wingdings" w:hAnsi="Wingdings" w:hint="default"/>
      </w:rPr>
    </w:lvl>
  </w:abstractNum>
  <w:abstractNum w:abstractNumId="17" w15:restartNumberingAfterBreak="0">
    <w:nsid w:val="6232765E"/>
    <w:multiLevelType w:val="hybridMultilevel"/>
    <w:tmpl w:val="ADF05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3E349C1"/>
    <w:multiLevelType w:val="hybridMultilevel"/>
    <w:tmpl w:val="620E50A8"/>
    <w:lvl w:ilvl="0" w:tplc="A3022C5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8A8343F"/>
    <w:multiLevelType w:val="hybridMultilevel"/>
    <w:tmpl w:val="5E50B03A"/>
    <w:lvl w:ilvl="0" w:tplc="7ED2DBEA">
      <w:start w:val="6"/>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5E4ED8"/>
    <w:multiLevelType w:val="hybridMultilevel"/>
    <w:tmpl w:val="97201F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E065E7"/>
    <w:multiLevelType w:val="hybridMultilevel"/>
    <w:tmpl w:val="7CBE1586"/>
    <w:lvl w:ilvl="0" w:tplc="A28C3D0C">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61096B"/>
    <w:multiLevelType w:val="hybridMultilevel"/>
    <w:tmpl w:val="7D2A39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5D3E2F"/>
    <w:multiLevelType w:val="hybridMultilevel"/>
    <w:tmpl w:val="F69C60F8"/>
    <w:lvl w:ilvl="0" w:tplc="04090001">
      <w:start w:val="1"/>
      <w:numFmt w:val="bullet"/>
      <w:lvlText w:val=""/>
      <w:lvlJc w:val="left"/>
      <w:pPr>
        <w:ind w:left="4680" w:hanging="360"/>
      </w:pPr>
      <w:rPr>
        <w:rFonts w:ascii="Symbol" w:hAnsi="Symbol" w:hint="default"/>
      </w:rPr>
    </w:lvl>
    <w:lvl w:ilvl="1" w:tplc="04090003">
      <w:start w:val="1"/>
      <w:numFmt w:val="bullet"/>
      <w:lvlText w:val="o"/>
      <w:lvlJc w:val="left"/>
      <w:pPr>
        <w:ind w:left="5400" w:hanging="360"/>
      </w:pPr>
      <w:rPr>
        <w:rFonts w:ascii="Courier New" w:hAnsi="Courier New" w:cs="Courier New" w:hint="default"/>
      </w:rPr>
    </w:lvl>
    <w:lvl w:ilvl="2" w:tplc="04090005">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4" w15:restartNumberingAfterBreak="0">
    <w:nsid w:val="7CCC7109"/>
    <w:multiLevelType w:val="hybridMultilevel"/>
    <w:tmpl w:val="53A449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D1B3677"/>
    <w:multiLevelType w:val="hybridMultilevel"/>
    <w:tmpl w:val="83F0EC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22"/>
  </w:num>
  <w:num w:numId="3">
    <w:abstractNumId w:val="0"/>
  </w:num>
  <w:num w:numId="4">
    <w:abstractNumId w:val="21"/>
  </w:num>
  <w:num w:numId="5">
    <w:abstractNumId w:val="15"/>
  </w:num>
  <w:num w:numId="6">
    <w:abstractNumId w:val="4"/>
  </w:num>
  <w:num w:numId="7">
    <w:abstractNumId w:val="9"/>
    <w:lvlOverride w:ilvl="0">
      <w:lvl w:ilvl="0">
        <w:start w:val="1"/>
        <w:numFmt w:val="decimal"/>
        <w:lvlRestart w:val="0"/>
        <w:pStyle w:val="StandardL1"/>
        <w:lvlText w:val="%1"/>
        <w:lvlJc w:val="right"/>
        <w:pPr>
          <w:tabs>
            <w:tab w:val="num" w:pos="567"/>
          </w:tabs>
          <w:ind w:left="567" w:hanging="452"/>
        </w:pPr>
        <w:rPr>
          <w:rFonts w:ascii="Arial" w:hAnsi="Arial" w:cs="Arial"/>
          <w:b/>
          <w:sz w:val="20"/>
          <w:szCs w:val="20"/>
        </w:rPr>
      </w:lvl>
    </w:lvlOverride>
    <w:lvlOverride w:ilvl="1">
      <w:lvl w:ilvl="1">
        <w:start w:val="1"/>
        <w:numFmt w:val="decimal"/>
        <w:pStyle w:val="StandardL2"/>
        <w:lvlText w:val="%1.%2"/>
        <w:lvlJc w:val="right"/>
        <w:pPr>
          <w:tabs>
            <w:tab w:val="num" w:pos="567"/>
          </w:tabs>
          <w:ind w:left="567" w:hanging="452"/>
        </w:pPr>
        <w:rPr>
          <w:rFonts w:ascii="Arial" w:hAnsi="Arial" w:cs="Arial"/>
          <w:b w:val="0"/>
          <w:sz w:val="20"/>
        </w:rPr>
      </w:lvl>
    </w:lvlOverride>
    <w:lvlOverride w:ilvl="2">
      <w:lvl w:ilvl="2">
        <w:start w:val="1"/>
        <w:numFmt w:val="lowerLetter"/>
        <w:pStyle w:val="StandardL3"/>
        <w:lvlText w:val="(%3)"/>
        <w:lvlJc w:val="left"/>
        <w:pPr>
          <w:tabs>
            <w:tab w:val="num" w:pos="5398"/>
          </w:tabs>
          <w:ind w:left="5398" w:hanging="578"/>
        </w:pPr>
        <w:rPr>
          <w:rFonts w:ascii="Arial" w:hAnsi="Arial" w:cs="Arial"/>
          <w:b w:val="0"/>
          <w:sz w:val="20"/>
        </w:rPr>
      </w:lvl>
    </w:lvlOverride>
    <w:lvlOverride w:ilvl="3">
      <w:lvl w:ilvl="3">
        <w:start w:val="1"/>
        <w:numFmt w:val="lowerRoman"/>
        <w:pStyle w:val="StandardL4"/>
        <w:lvlText w:val="(%4)"/>
        <w:lvlJc w:val="left"/>
        <w:pPr>
          <w:tabs>
            <w:tab w:val="num" w:pos="1701"/>
          </w:tabs>
          <w:ind w:left="1701" w:hanging="567"/>
        </w:pPr>
        <w:rPr>
          <w:rFonts w:ascii="Arial" w:hAnsi="Arial" w:cs="Arial"/>
          <w:b w:val="0"/>
          <w:bCs/>
          <w:sz w:val="20"/>
        </w:rPr>
      </w:lvl>
    </w:lvlOverride>
    <w:lvlOverride w:ilvl="4">
      <w:lvl w:ilvl="4">
        <w:start w:val="1"/>
        <w:numFmt w:val="upperLetter"/>
        <w:pStyle w:val="StandardL5"/>
        <w:lvlText w:val="(%5)"/>
        <w:lvlJc w:val="left"/>
        <w:pPr>
          <w:tabs>
            <w:tab w:val="num" w:pos="2268"/>
          </w:tabs>
          <w:ind w:left="2268" w:hanging="567"/>
        </w:pPr>
        <w:rPr>
          <w:rFonts w:ascii="Arial" w:hAnsi="Arial" w:cs="Arial"/>
          <w:sz w:val="20"/>
        </w:rPr>
      </w:lvl>
    </w:lvlOverride>
    <w:lvlOverride w:ilvl="5">
      <w:lvl w:ilvl="5">
        <w:start w:val="1"/>
        <w:numFmt w:val="decimal"/>
        <w:pStyle w:val="StandardL6"/>
        <w:lvlText w:val="(%6)"/>
        <w:lvlJc w:val="left"/>
        <w:pPr>
          <w:tabs>
            <w:tab w:val="num" w:pos="2835"/>
          </w:tabs>
          <w:ind w:left="2835" w:hanging="567"/>
        </w:pPr>
        <w:rPr>
          <w:rFonts w:ascii="Arial" w:hAnsi="Arial" w:cs="Arial"/>
          <w:sz w:val="20"/>
        </w:rPr>
      </w:lvl>
    </w:lvlOverride>
    <w:lvlOverride w:ilvl="6">
      <w:lvl w:ilvl="6">
        <w:start w:val="1"/>
        <w:numFmt w:val="upperRoman"/>
        <w:pStyle w:val="StandardL7"/>
        <w:lvlText w:val="(%7)"/>
        <w:lvlJc w:val="left"/>
        <w:pPr>
          <w:tabs>
            <w:tab w:val="num" w:pos="3402"/>
          </w:tabs>
          <w:ind w:left="3402" w:hanging="567"/>
        </w:pPr>
        <w:rPr>
          <w:rFonts w:ascii="Arial" w:hAnsi="Arial" w:cs="Arial"/>
          <w:sz w:val="20"/>
        </w:rPr>
      </w:lvl>
    </w:lvlOverride>
    <w:lvlOverride w:ilvl="7">
      <w:lvl w:ilvl="7">
        <w:start w:val="1"/>
        <w:numFmt w:val="lowerLetter"/>
        <w:pStyle w:val="StandardL8"/>
        <w:lvlText w:val="%8."/>
        <w:lvlJc w:val="left"/>
        <w:pPr>
          <w:tabs>
            <w:tab w:val="num" w:pos="3969"/>
          </w:tabs>
          <w:ind w:left="3969" w:hanging="567"/>
        </w:pPr>
        <w:rPr>
          <w:rFonts w:ascii="Arial" w:hAnsi="Arial" w:cs="Arial"/>
          <w:sz w:val="20"/>
        </w:rPr>
      </w:lvl>
    </w:lvlOverride>
    <w:lvlOverride w:ilvl="8">
      <w:lvl w:ilvl="8">
        <w:start w:val="1"/>
        <w:numFmt w:val="lowerRoman"/>
        <w:pStyle w:val="StandardL9"/>
        <w:lvlText w:val="%9."/>
        <w:lvlJc w:val="left"/>
        <w:pPr>
          <w:tabs>
            <w:tab w:val="num" w:pos="4535"/>
          </w:tabs>
          <w:ind w:left="4535" w:hanging="566"/>
        </w:pPr>
        <w:rPr>
          <w:rFonts w:ascii="Arial" w:hAnsi="Arial" w:cs="Arial"/>
          <w:sz w:val="20"/>
        </w:rPr>
      </w:lvl>
    </w:lvlOverride>
  </w:num>
  <w:num w:numId="8">
    <w:abstractNumId w:val="9"/>
  </w:num>
  <w:num w:numId="9">
    <w:abstractNumId w:val="19"/>
  </w:num>
  <w:num w:numId="10">
    <w:abstractNumId w:val="3"/>
  </w:num>
  <w:num w:numId="11">
    <w:abstractNumId w:val="20"/>
  </w:num>
  <w:num w:numId="12">
    <w:abstractNumId w:val="14"/>
  </w:num>
  <w:num w:numId="13">
    <w:abstractNumId w:val="2"/>
  </w:num>
  <w:num w:numId="14">
    <w:abstractNumId w:val="5"/>
  </w:num>
  <w:num w:numId="15">
    <w:abstractNumId w:val="12"/>
  </w:num>
  <w:num w:numId="16">
    <w:abstractNumId w:val="17"/>
  </w:num>
  <w:num w:numId="17">
    <w:abstractNumId w:val="25"/>
  </w:num>
  <w:num w:numId="18">
    <w:abstractNumId w:val="16"/>
  </w:num>
  <w:num w:numId="19">
    <w:abstractNumId w:val="7"/>
  </w:num>
  <w:num w:numId="20">
    <w:abstractNumId w:val="23"/>
  </w:num>
  <w:num w:numId="21">
    <w:abstractNumId w:val="18"/>
  </w:num>
  <w:num w:numId="22">
    <w:abstractNumId w:val="1"/>
  </w:num>
  <w:num w:numId="23">
    <w:abstractNumId w:val="24"/>
  </w:num>
  <w:num w:numId="24">
    <w:abstractNumId w:val="13"/>
  </w:num>
  <w:num w:numId="25">
    <w:abstractNumId w:val="10"/>
  </w:num>
  <w:num w:numId="26">
    <w:abstractNumId w:val="8"/>
  </w:num>
  <w:num w:numId="27">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en-AU"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6" w:nlCheck="1" w:checkStyle="0"/>
  <w:activeWritingStyle w:appName="MSWord" w:lang="it-IT" w:vendorID="64" w:dllVersion="0" w:nlCheck="1" w:checkStyle="0"/>
  <w:activeWritingStyle w:appName="MSWord" w:lang="fr-FR" w:vendorID="64" w:dllVersion="0" w:nlCheck="1" w:checkStyle="0"/>
  <w:activeWritingStyle w:appName="MSWord" w:lang="es-ES" w:vendorID="64" w:dllVersion="0" w:nlCheck="1" w:checkStyle="0"/>
  <w:activeWritingStyle w:appName="MSWord" w:lang="de-DE" w:vendorID="64" w:dllVersion="0" w:nlCheck="1" w:checkStyle="0"/>
  <w:proofState w:spelling="clean" w:grammar="clean"/>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64A"/>
    <w:rsid w:val="000001DB"/>
    <w:rsid w:val="0000174E"/>
    <w:rsid w:val="00001C8C"/>
    <w:rsid w:val="00004246"/>
    <w:rsid w:val="000054D6"/>
    <w:rsid w:val="00005A83"/>
    <w:rsid w:val="000062C4"/>
    <w:rsid w:val="000063FC"/>
    <w:rsid w:val="000072A8"/>
    <w:rsid w:val="00007989"/>
    <w:rsid w:val="00014489"/>
    <w:rsid w:val="00016669"/>
    <w:rsid w:val="000235C9"/>
    <w:rsid w:val="00025B96"/>
    <w:rsid w:val="00030895"/>
    <w:rsid w:val="00030EEB"/>
    <w:rsid w:val="00032232"/>
    <w:rsid w:val="000362B2"/>
    <w:rsid w:val="0003779A"/>
    <w:rsid w:val="00037F35"/>
    <w:rsid w:val="00040DA1"/>
    <w:rsid w:val="00041B9F"/>
    <w:rsid w:val="000425EF"/>
    <w:rsid w:val="00046E2E"/>
    <w:rsid w:val="0004787B"/>
    <w:rsid w:val="00047F63"/>
    <w:rsid w:val="00050EA8"/>
    <w:rsid w:val="00051416"/>
    <w:rsid w:val="00051633"/>
    <w:rsid w:val="00051908"/>
    <w:rsid w:val="00051F56"/>
    <w:rsid w:val="000535E5"/>
    <w:rsid w:val="00053FB7"/>
    <w:rsid w:val="00054299"/>
    <w:rsid w:val="00054469"/>
    <w:rsid w:val="00054BF4"/>
    <w:rsid w:val="00066A5D"/>
    <w:rsid w:val="00066AA2"/>
    <w:rsid w:val="000679DF"/>
    <w:rsid w:val="000718C8"/>
    <w:rsid w:val="00073C84"/>
    <w:rsid w:val="000744B9"/>
    <w:rsid w:val="000756CC"/>
    <w:rsid w:val="00075774"/>
    <w:rsid w:val="00075DD3"/>
    <w:rsid w:val="00076360"/>
    <w:rsid w:val="00077CD5"/>
    <w:rsid w:val="000830C1"/>
    <w:rsid w:val="0008360B"/>
    <w:rsid w:val="0008728C"/>
    <w:rsid w:val="000908C0"/>
    <w:rsid w:val="00093182"/>
    <w:rsid w:val="00093B4A"/>
    <w:rsid w:val="00095CF5"/>
    <w:rsid w:val="00096B9C"/>
    <w:rsid w:val="0009741A"/>
    <w:rsid w:val="000A21BF"/>
    <w:rsid w:val="000A251F"/>
    <w:rsid w:val="000A3A25"/>
    <w:rsid w:val="000A610F"/>
    <w:rsid w:val="000A708D"/>
    <w:rsid w:val="000B090C"/>
    <w:rsid w:val="000B18A3"/>
    <w:rsid w:val="000B336A"/>
    <w:rsid w:val="000B6D69"/>
    <w:rsid w:val="000B73DE"/>
    <w:rsid w:val="000B778F"/>
    <w:rsid w:val="000C21B2"/>
    <w:rsid w:val="000C2C5E"/>
    <w:rsid w:val="000C2CB1"/>
    <w:rsid w:val="000C497F"/>
    <w:rsid w:val="000C4CB8"/>
    <w:rsid w:val="000D02B2"/>
    <w:rsid w:val="000D17A2"/>
    <w:rsid w:val="000D3513"/>
    <w:rsid w:val="000D793B"/>
    <w:rsid w:val="000E134E"/>
    <w:rsid w:val="000E38B7"/>
    <w:rsid w:val="000E3FA8"/>
    <w:rsid w:val="000E679A"/>
    <w:rsid w:val="000F17D8"/>
    <w:rsid w:val="000F47DD"/>
    <w:rsid w:val="00105AC0"/>
    <w:rsid w:val="001104FA"/>
    <w:rsid w:val="00111E34"/>
    <w:rsid w:val="0011220B"/>
    <w:rsid w:val="00113A14"/>
    <w:rsid w:val="00113F3D"/>
    <w:rsid w:val="00114EDA"/>
    <w:rsid w:val="00120306"/>
    <w:rsid w:val="00123B42"/>
    <w:rsid w:val="0012425C"/>
    <w:rsid w:val="001249BC"/>
    <w:rsid w:val="00125442"/>
    <w:rsid w:val="00126FD9"/>
    <w:rsid w:val="0013058D"/>
    <w:rsid w:val="00130E1A"/>
    <w:rsid w:val="0013265E"/>
    <w:rsid w:val="001364D3"/>
    <w:rsid w:val="001377B8"/>
    <w:rsid w:val="0014057E"/>
    <w:rsid w:val="00140D65"/>
    <w:rsid w:val="00142892"/>
    <w:rsid w:val="001449C1"/>
    <w:rsid w:val="001458CE"/>
    <w:rsid w:val="0014605B"/>
    <w:rsid w:val="00147847"/>
    <w:rsid w:val="0015471F"/>
    <w:rsid w:val="001548EF"/>
    <w:rsid w:val="001618D9"/>
    <w:rsid w:val="001711A6"/>
    <w:rsid w:val="001737F3"/>
    <w:rsid w:val="001742EC"/>
    <w:rsid w:val="00174858"/>
    <w:rsid w:val="00174EB9"/>
    <w:rsid w:val="001751DD"/>
    <w:rsid w:val="00175FD2"/>
    <w:rsid w:val="00176285"/>
    <w:rsid w:val="001802D3"/>
    <w:rsid w:val="0018558D"/>
    <w:rsid w:val="00186E85"/>
    <w:rsid w:val="00187BA9"/>
    <w:rsid w:val="00190682"/>
    <w:rsid w:val="0019209D"/>
    <w:rsid w:val="00193CB1"/>
    <w:rsid w:val="00195435"/>
    <w:rsid w:val="0019600C"/>
    <w:rsid w:val="00197CD7"/>
    <w:rsid w:val="001A0D1A"/>
    <w:rsid w:val="001A39E1"/>
    <w:rsid w:val="001A582E"/>
    <w:rsid w:val="001A7D1D"/>
    <w:rsid w:val="001B05AA"/>
    <w:rsid w:val="001B1E17"/>
    <w:rsid w:val="001B75E4"/>
    <w:rsid w:val="001C1B5D"/>
    <w:rsid w:val="001C68AB"/>
    <w:rsid w:val="001C68EC"/>
    <w:rsid w:val="001C6B1B"/>
    <w:rsid w:val="001D08D3"/>
    <w:rsid w:val="001D1764"/>
    <w:rsid w:val="001D36AF"/>
    <w:rsid w:val="001D4AD4"/>
    <w:rsid w:val="001D54D1"/>
    <w:rsid w:val="001D67B1"/>
    <w:rsid w:val="001D6A90"/>
    <w:rsid w:val="001D6E43"/>
    <w:rsid w:val="001D7158"/>
    <w:rsid w:val="001E0C68"/>
    <w:rsid w:val="001E1820"/>
    <w:rsid w:val="001E2913"/>
    <w:rsid w:val="001E4E40"/>
    <w:rsid w:val="001E51FB"/>
    <w:rsid w:val="001E768B"/>
    <w:rsid w:val="001F151F"/>
    <w:rsid w:val="001F44A9"/>
    <w:rsid w:val="001F4F56"/>
    <w:rsid w:val="001F6949"/>
    <w:rsid w:val="00200744"/>
    <w:rsid w:val="00202D1F"/>
    <w:rsid w:val="00202E15"/>
    <w:rsid w:val="0021309F"/>
    <w:rsid w:val="00213403"/>
    <w:rsid w:val="00213408"/>
    <w:rsid w:val="00217F92"/>
    <w:rsid w:val="00220B0E"/>
    <w:rsid w:val="00221234"/>
    <w:rsid w:val="00222ED7"/>
    <w:rsid w:val="00224D4A"/>
    <w:rsid w:val="0022510B"/>
    <w:rsid w:val="0022756C"/>
    <w:rsid w:val="00230313"/>
    <w:rsid w:val="00232FCF"/>
    <w:rsid w:val="00235D3A"/>
    <w:rsid w:val="00237177"/>
    <w:rsid w:val="00237A4A"/>
    <w:rsid w:val="002402E2"/>
    <w:rsid w:val="00243033"/>
    <w:rsid w:val="00245356"/>
    <w:rsid w:val="00246335"/>
    <w:rsid w:val="0024677F"/>
    <w:rsid w:val="00246984"/>
    <w:rsid w:val="002507E2"/>
    <w:rsid w:val="002511EC"/>
    <w:rsid w:val="00251CE6"/>
    <w:rsid w:val="00253191"/>
    <w:rsid w:val="00253E50"/>
    <w:rsid w:val="00255C55"/>
    <w:rsid w:val="00256934"/>
    <w:rsid w:val="00260C8F"/>
    <w:rsid w:val="002613BF"/>
    <w:rsid w:val="002616D6"/>
    <w:rsid w:val="00262D85"/>
    <w:rsid w:val="00266B5C"/>
    <w:rsid w:val="00266CAC"/>
    <w:rsid w:val="00273460"/>
    <w:rsid w:val="0027509F"/>
    <w:rsid w:val="00280E5D"/>
    <w:rsid w:val="002816DB"/>
    <w:rsid w:val="00282894"/>
    <w:rsid w:val="0028323D"/>
    <w:rsid w:val="002851E4"/>
    <w:rsid w:val="00285417"/>
    <w:rsid w:val="0028697B"/>
    <w:rsid w:val="0028782D"/>
    <w:rsid w:val="00292B2B"/>
    <w:rsid w:val="002934CF"/>
    <w:rsid w:val="00297F05"/>
    <w:rsid w:val="002A33E0"/>
    <w:rsid w:val="002A371B"/>
    <w:rsid w:val="002A529D"/>
    <w:rsid w:val="002A6970"/>
    <w:rsid w:val="002A75FC"/>
    <w:rsid w:val="002B1F7F"/>
    <w:rsid w:val="002B24E3"/>
    <w:rsid w:val="002B6632"/>
    <w:rsid w:val="002B73AC"/>
    <w:rsid w:val="002C04D7"/>
    <w:rsid w:val="002C13BB"/>
    <w:rsid w:val="002C591B"/>
    <w:rsid w:val="002C7984"/>
    <w:rsid w:val="002D3DA3"/>
    <w:rsid w:val="002D5A0F"/>
    <w:rsid w:val="002D5B7D"/>
    <w:rsid w:val="002D6F77"/>
    <w:rsid w:val="002E2486"/>
    <w:rsid w:val="002E3B94"/>
    <w:rsid w:val="002E500B"/>
    <w:rsid w:val="002E5917"/>
    <w:rsid w:val="002E73D3"/>
    <w:rsid w:val="002F1ECF"/>
    <w:rsid w:val="002F2D21"/>
    <w:rsid w:val="002F3E04"/>
    <w:rsid w:val="002F55AC"/>
    <w:rsid w:val="002F7490"/>
    <w:rsid w:val="00300115"/>
    <w:rsid w:val="0030209A"/>
    <w:rsid w:val="00307739"/>
    <w:rsid w:val="00307FA5"/>
    <w:rsid w:val="00313B2E"/>
    <w:rsid w:val="00314A81"/>
    <w:rsid w:val="0031517A"/>
    <w:rsid w:val="003160A5"/>
    <w:rsid w:val="003204DF"/>
    <w:rsid w:val="00322121"/>
    <w:rsid w:val="00326894"/>
    <w:rsid w:val="00331D92"/>
    <w:rsid w:val="00333BC7"/>
    <w:rsid w:val="0033402B"/>
    <w:rsid w:val="003341BA"/>
    <w:rsid w:val="0033464A"/>
    <w:rsid w:val="00334CFE"/>
    <w:rsid w:val="00335207"/>
    <w:rsid w:val="0033687C"/>
    <w:rsid w:val="00341C59"/>
    <w:rsid w:val="0034337E"/>
    <w:rsid w:val="00351708"/>
    <w:rsid w:val="0035176F"/>
    <w:rsid w:val="00353ABE"/>
    <w:rsid w:val="0035455A"/>
    <w:rsid w:val="00363179"/>
    <w:rsid w:val="00364E87"/>
    <w:rsid w:val="00365053"/>
    <w:rsid w:val="00365F2B"/>
    <w:rsid w:val="00367D64"/>
    <w:rsid w:val="0037062D"/>
    <w:rsid w:val="00371991"/>
    <w:rsid w:val="0037248C"/>
    <w:rsid w:val="00374EC0"/>
    <w:rsid w:val="0037577A"/>
    <w:rsid w:val="00375D64"/>
    <w:rsid w:val="00375D8E"/>
    <w:rsid w:val="00381675"/>
    <w:rsid w:val="00383A20"/>
    <w:rsid w:val="00384796"/>
    <w:rsid w:val="003851C5"/>
    <w:rsid w:val="00387834"/>
    <w:rsid w:val="00387910"/>
    <w:rsid w:val="00387DE0"/>
    <w:rsid w:val="0039048A"/>
    <w:rsid w:val="003939DE"/>
    <w:rsid w:val="003942A4"/>
    <w:rsid w:val="00396CBC"/>
    <w:rsid w:val="003A14C7"/>
    <w:rsid w:val="003B41F7"/>
    <w:rsid w:val="003B5EEA"/>
    <w:rsid w:val="003B6F7E"/>
    <w:rsid w:val="003C10AB"/>
    <w:rsid w:val="003C308B"/>
    <w:rsid w:val="003C30EE"/>
    <w:rsid w:val="003C335F"/>
    <w:rsid w:val="003C3A46"/>
    <w:rsid w:val="003C561F"/>
    <w:rsid w:val="003C78CA"/>
    <w:rsid w:val="003D0F78"/>
    <w:rsid w:val="003D223C"/>
    <w:rsid w:val="003D35CF"/>
    <w:rsid w:val="003D36DF"/>
    <w:rsid w:val="003D36F0"/>
    <w:rsid w:val="003D3AD2"/>
    <w:rsid w:val="003D3BEE"/>
    <w:rsid w:val="003D7950"/>
    <w:rsid w:val="003D7C11"/>
    <w:rsid w:val="003E14CE"/>
    <w:rsid w:val="003E18E1"/>
    <w:rsid w:val="003E1FE1"/>
    <w:rsid w:val="003E21DB"/>
    <w:rsid w:val="003E413A"/>
    <w:rsid w:val="003E5B44"/>
    <w:rsid w:val="003F21AE"/>
    <w:rsid w:val="003F4D78"/>
    <w:rsid w:val="003F5740"/>
    <w:rsid w:val="003F61F2"/>
    <w:rsid w:val="003F6F66"/>
    <w:rsid w:val="003F7D4D"/>
    <w:rsid w:val="0040153C"/>
    <w:rsid w:val="004033AD"/>
    <w:rsid w:val="00404B1A"/>
    <w:rsid w:val="00410427"/>
    <w:rsid w:val="00411085"/>
    <w:rsid w:val="00411302"/>
    <w:rsid w:val="00417719"/>
    <w:rsid w:val="00417CEE"/>
    <w:rsid w:val="004218B7"/>
    <w:rsid w:val="004254BA"/>
    <w:rsid w:val="00426201"/>
    <w:rsid w:val="00427BA7"/>
    <w:rsid w:val="0043134C"/>
    <w:rsid w:val="004324BE"/>
    <w:rsid w:val="00434534"/>
    <w:rsid w:val="00434A03"/>
    <w:rsid w:val="00435B86"/>
    <w:rsid w:val="00437EB8"/>
    <w:rsid w:val="00440C06"/>
    <w:rsid w:val="00441006"/>
    <w:rsid w:val="00442D9D"/>
    <w:rsid w:val="004433F3"/>
    <w:rsid w:val="00444315"/>
    <w:rsid w:val="0044447F"/>
    <w:rsid w:val="00444538"/>
    <w:rsid w:val="00446925"/>
    <w:rsid w:val="00446AA1"/>
    <w:rsid w:val="00446ACC"/>
    <w:rsid w:val="00446C9A"/>
    <w:rsid w:val="00451889"/>
    <w:rsid w:val="00451DB8"/>
    <w:rsid w:val="00455046"/>
    <w:rsid w:val="00462633"/>
    <w:rsid w:val="00462646"/>
    <w:rsid w:val="0046315B"/>
    <w:rsid w:val="00463BBD"/>
    <w:rsid w:val="00470F4B"/>
    <w:rsid w:val="0048041D"/>
    <w:rsid w:val="0048068E"/>
    <w:rsid w:val="00480A06"/>
    <w:rsid w:val="004837CE"/>
    <w:rsid w:val="004857C1"/>
    <w:rsid w:val="00486659"/>
    <w:rsid w:val="004870E5"/>
    <w:rsid w:val="00491855"/>
    <w:rsid w:val="0049227A"/>
    <w:rsid w:val="00492993"/>
    <w:rsid w:val="00495096"/>
    <w:rsid w:val="00496565"/>
    <w:rsid w:val="004A0E0D"/>
    <w:rsid w:val="004A1737"/>
    <w:rsid w:val="004A1844"/>
    <w:rsid w:val="004A7621"/>
    <w:rsid w:val="004A7BEB"/>
    <w:rsid w:val="004B0533"/>
    <w:rsid w:val="004B0B9E"/>
    <w:rsid w:val="004B0FDC"/>
    <w:rsid w:val="004B104F"/>
    <w:rsid w:val="004B33AE"/>
    <w:rsid w:val="004B46A6"/>
    <w:rsid w:val="004B6643"/>
    <w:rsid w:val="004B774A"/>
    <w:rsid w:val="004C5957"/>
    <w:rsid w:val="004C6BA6"/>
    <w:rsid w:val="004C7E39"/>
    <w:rsid w:val="004D120A"/>
    <w:rsid w:val="004D2B55"/>
    <w:rsid w:val="004D2F7F"/>
    <w:rsid w:val="004D45D0"/>
    <w:rsid w:val="004E195A"/>
    <w:rsid w:val="004E2679"/>
    <w:rsid w:val="004E3885"/>
    <w:rsid w:val="004E68A5"/>
    <w:rsid w:val="004E7992"/>
    <w:rsid w:val="004F01D5"/>
    <w:rsid w:val="004F4CD6"/>
    <w:rsid w:val="004F64D1"/>
    <w:rsid w:val="00500A2E"/>
    <w:rsid w:val="0050159F"/>
    <w:rsid w:val="0050182D"/>
    <w:rsid w:val="00501E0F"/>
    <w:rsid w:val="005020B8"/>
    <w:rsid w:val="0050290C"/>
    <w:rsid w:val="00502D34"/>
    <w:rsid w:val="00503BE5"/>
    <w:rsid w:val="005040E8"/>
    <w:rsid w:val="00505553"/>
    <w:rsid w:val="00505DEC"/>
    <w:rsid w:val="0050794C"/>
    <w:rsid w:val="00507A6B"/>
    <w:rsid w:val="00510B12"/>
    <w:rsid w:val="00512496"/>
    <w:rsid w:val="005136DF"/>
    <w:rsid w:val="00517867"/>
    <w:rsid w:val="00517C02"/>
    <w:rsid w:val="00522538"/>
    <w:rsid w:val="00522E04"/>
    <w:rsid w:val="00523CC0"/>
    <w:rsid w:val="00524ACE"/>
    <w:rsid w:val="00524CF2"/>
    <w:rsid w:val="00525101"/>
    <w:rsid w:val="0053271A"/>
    <w:rsid w:val="00533F86"/>
    <w:rsid w:val="0053594D"/>
    <w:rsid w:val="005404C6"/>
    <w:rsid w:val="005433F9"/>
    <w:rsid w:val="00543E4F"/>
    <w:rsid w:val="005441F8"/>
    <w:rsid w:val="0054538A"/>
    <w:rsid w:val="00547E9C"/>
    <w:rsid w:val="005509B3"/>
    <w:rsid w:val="005512AC"/>
    <w:rsid w:val="00553C03"/>
    <w:rsid w:val="00555210"/>
    <w:rsid w:val="0055732A"/>
    <w:rsid w:val="00560316"/>
    <w:rsid w:val="005635F8"/>
    <w:rsid w:val="00565E96"/>
    <w:rsid w:val="00573C11"/>
    <w:rsid w:val="00574B1F"/>
    <w:rsid w:val="00575D33"/>
    <w:rsid w:val="0059022B"/>
    <w:rsid w:val="00591B95"/>
    <w:rsid w:val="00595037"/>
    <w:rsid w:val="00595093"/>
    <w:rsid w:val="005969F1"/>
    <w:rsid w:val="005A0323"/>
    <w:rsid w:val="005A125D"/>
    <w:rsid w:val="005A2753"/>
    <w:rsid w:val="005A348B"/>
    <w:rsid w:val="005A3492"/>
    <w:rsid w:val="005A4F72"/>
    <w:rsid w:val="005A5BD8"/>
    <w:rsid w:val="005B00DA"/>
    <w:rsid w:val="005B0502"/>
    <w:rsid w:val="005B2D62"/>
    <w:rsid w:val="005B476A"/>
    <w:rsid w:val="005B5136"/>
    <w:rsid w:val="005B639A"/>
    <w:rsid w:val="005B6E56"/>
    <w:rsid w:val="005B788D"/>
    <w:rsid w:val="005B78BE"/>
    <w:rsid w:val="005C416F"/>
    <w:rsid w:val="005C6A05"/>
    <w:rsid w:val="005D04E9"/>
    <w:rsid w:val="005D1DCB"/>
    <w:rsid w:val="005D231C"/>
    <w:rsid w:val="005D29C2"/>
    <w:rsid w:val="005D2C19"/>
    <w:rsid w:val="005D3717"/>
    <w:rsid w:val="005D38BE"/>
    <w:rsid w:val="005D43A6"/>
    <w:rsid w:val="005D54DF"/>
    <w:rsid w:val="005D5CA5"/>
    <w:rsid w:val="005D6730"/>
    <w:rsid w:val="005E4DD9"/>
    <w:rsid w:val="005F2FA4"/>
    <w:rsid w:val="005F3A48"/>
    <w:rsid w:val="00600E7F"/>
    <w:rsid w:val="00605796"/>
    <w:rsid w:val="0060719B"/>
    <w:rsid w:val="00607274"/>
    <w:rsid w:val="0061019A"/>
    <w:rsid w:val="00610344"/>
    <w:rsid w:val="0061049C"/>
    <w:rsid w:val="006105F1"/>
    <w:rsid w:val="00612047"/>
    <w:rsid w:val="006146EF"/>
    <w:rsid w:val="00620224"/>
    <w:rsid w:val="00621044"/>
    <w:rsid w:val="006255F8"/>
    <w:rsid w:val="00625B37"/>
    <w:rsid w:val="0062699E"/>
    <w:rsid w:val="00627861"/>
    <w:rsid w:val="006308B0"/>
    <w:rsid w:val="00633500"/>
    <w:rsid w:val="006355A6"/>
    <w:rsid w:val="0064079B"/>
    <w:rsid w:val="00644DB6"/>
    <w:rsid w:val="00647E0E"/>
    <w:rsid w:val="0065163D"/>
    <w:rsid w:val="00652216"/>
    <w:rsid w:val="00652A8B"/>
    <w:rsid w:val="00654150"/>
    <w:rsid w:val="00655340"/>
    <w:rsid w:val="00655E30"/>
    <w:rsid w:val="00657B1E"/>
    <w:rsid w:val="006615D4"/>
    <w:rsid w:val="00663947"/>
    <w:rsid w:val="00663E80"/>
    <w:rsid w:val="00663FAD"/>
    <w:rsid w:val="00664BBD"/>
    <w:rsid w:val="0067038C"/>
    <w:rsid w:val="0067112E"/>
    <w:rsid w:val="006717C2"/>
    <w:rsid w:val="00671A94"/>
    <w:rsid w:val="00674B4C"/>
    <w:rsid w:val="00677F1E"/>
    <w:rsid w:val="006815FB"/>
    <w:rsid w:val="00681612"/>
    <w:rsid w:val="00683512"/>
    <w:rsid w:val="00684352"/>
    <w:rsid w:val="00686C7C"/>
    <w:rsid w:val="006900B6"/>
    <w:rsid w:val="00690695"/>
    <w:rsid w:val="00692BCF"/>
    <w:rsid w:val="00696319"/>
    <w:rsid w:val="006A14F9"/>
    <w:rsid w:val="006A219C"/>
    <w:rsid w:val="006A4580"/>
    <w:rsid w:val="006A45F5"/>
    <w:rsid w:val="006A472D"/>
    <w:rsid w:val="006A502C"/>
    <w:rsid w:val="006A7CA2"/>
    <w:rsid w:val="006B0AF3"/>
    <w:rsid w:val="006B163C"/>
    <w:rsid w:val="006B39AF"/>
    <w:rsid w:val="006B57F0"/>
    <w:rsid w:val="006B6BE2"/>
    <w:rsid w:val="006C1A19"/>
    <w:rsid w:val="006C2C0F"/>
    <w:rsid w:val="006C30C7"/>
    <w:rsid w:val="006C3A91"/>
    <w:rsid w:val="006C4510"/>
    <w:rsid w:val="006C4E7A"/>
    <w:rsid w:val="006D196A"/>
    <w:rsid w:val="006D24D3"/>
    <w:rsid w:val="006D4313"/>
    <w:rsid w:val="006D56C8"/>
    <w:rsid w:val="006D5C1A"/>
    <w:rsid w:val="006D5F85"/>
    <w:rsid w:val="006D75AB"/>
    <w:rsid w:val="006E1328"/>
    <w:rsid w:val="006E2698"/>
    <w:rsid w:val="006E26B1"/>
    <w:rsid w:val="006F1314"/>
    <w:rsid w:val="006F1B35"/>
    <w:rsid w:val="006F41DE"/>
    <w:rsid w:val="006F49B4"/>
    <w:rsid w:val="006F5ED8"/>
    <w:rsid w:val="006F6710"/>
    <w:rsid w:val="00700CC4"/>
    <w:rsid w:val="00703447"/>
    <w:rsid w:val="0070420A"/>
    <w:rsid w:val="00707F62"/>
    <w:rsid w:val="00710836"/>
    <w:rsid w:val="007117CE"/>
    <w:rsid w:val="00713F79"/>
    <w:rsid w:val="00714EDC"/>
    <w:rsid w:val="007152B5"/>
    <w:rsid w:val="00716DFF"/>
    <w:rsid w:val="007207E4"/>
    <w:rsid w:val="0072363F"/>
    <w:rsid w:val="00726E53"/>
    <w:rsid w:val="0072763E"/>
    <w:rsid w:val="00734655"/>
    <w:rsid w:val="00734B26"/>
    <w:rsid w:val="00736C78"/>
    <w:rsid w:val="00737207"/>
    <w:rsid w:val="00737822"/>
    <w:rsid w:val="00740209"/>
    <w:rsid w:val="00740E2B"/>
    <w:rsid w:val="00741F8D"/>
    <w:rsid w:val="00743200"/>
    <w:rsid w:val="00743664"/>
    <w:rsid w:val="007443A4"/>
    <w:rsid w:val="0074490B"/>
    <w:rsid w:val="00751C02"/>
    <w:rsid w:val="00752132"/>
    <w:rsid w:val="0075262F"/>
    <w:rsid w:val="0075431C"/>
    <w:rsid w:val="00754C6F"/>
    <w:rsid w:val="0075553D"/>
    <w:rsid w:val="00755E5A"/>
    <w:rsid w:val="0075652A"/>
    <w:rsid w:val="007565D5"/>
    <w:rsid w:val="00760E35"/>
    <w:rsid w:val="007625FD"/>
    <w:rsid w:val="00764036"/>
    <w:rsid w:val="00764556"/>
    <w:rsid w:val="00764BE4"/>
    <w:rsid w:val="00766624"/>
    <w:rsid w:val="00771836"/>
    <w:rsid w:val="00773B90"/>
    <w:rsid w:val="00773CB8"/>
    <w:rsid w:val="00774320"/>
    <w:rsid w:val="007751B4"/>
    <w:rsid w:val="007758C2"/>
    <w:rsid w:val="00775A8A"/>
    <w:rsid w:val="0077687C"/>
    <w:rsid w:val="00781114"/>
    <w:rsid w:val="00783FE4"/>
    <w:rsid w:val="00785B19"/>
    <w:rsid w:val="007860AA"/>
    <w:rsid w:val="007875F6"/>
    <w:rsid w:val="007913E6"/>
    <w:rsid w:val="00791E2E"/>
    <w:rsid w:val="007929E4"/>
    <w:rsid w:val="00792FFA"/>
    <w:rsid w:val="007934AC"/>
    <w:rsid w:val="007948DF"/>
    <w:rsid w:val="007A688F"/>
    <w:rsid w:val="007A705D"/>
    <w:rsid w:val="007B6DB2"/>
    <w:rsid w:val="007C088E"/>
    <w:rsid w:val="007C14D6"/>
    <w:rsid w:val="007D0631"/>
    <w:rsid w:val="007D34A8"/>
    <w:rsid w:val="007D56B0"/>
    <w:rsid w:val="007D68FD"/>
    <w:rsid w:val="007D7DC0"/>
    <w:rsid w:val="007E09EA"/>
    <w:rsid w:val="007E1B7E"/>
    <w:rsid w:val="007E3939"/>
    <w:rsid w:val="007E569D"/>
    <w:rsid w:val="007E7BF7"/>
    <w:rsid w:val="007F1D7B"/>
    <w:rsid w:val="007F305F"/>
    <w:rsid w:val="007F7414"/>
    <w:rsid w:val="007F7CD3"/>
    <w:rsid w:val="0080023E"/>
    <w:rsid w:val="00806D6B"/>
    <w:rsid w:val="00813102"/>
    <w:rsid w:val="008153E2"/>
    <w:rsid w:val="00815701"/>
    <w:rsid w:val="008202B2"/>
    <w:rsid w:val="00821332"/>
    <w:rsid w:val="00822133"/>
    <w:rsid w:val="00822C53"/>
    <w:rsid w:val="00824427"/>
    <w:rsid w:val="00824F72"/>
    <w:rsid w:val="008274A0"/>
    <w:rsid w:val="00827595"/>
    <w:rsid w:val="00831BA6"/>
    <w:rsid w:val="00834F4A"/>
    <w:rsid w:val="00835192"/>
    <w:rsid w:val="0083568E"/>
    <w:rsid w:val="00842B80"/>
    <w:rsid w:val="00844277"/>
    <w:rsid w:val="00844330"/>
    <w:rsid w:val="00846029"/>
    <w:rsid w:val="0084716F"/>
    <w:rsid w:val="00847CE5"/>
    <w:rsid w:val="00854035"/>
    <w:rsid w:val="00855F5E"/>
    <w:rsid w:val="00857734"/>
    <w:rsid w:val="00860E77"/>
    <w:rsid w:val="00861696"/>
    <w:rsid w:val="00861AF3"/>
    <w:rsid w:val="008641D0"/>
    <w:rsid w:val="008653CA"/>
    <w:rsid w:val="00865AB6"/>
    <w:rsid w:val="00865D72"/>
    <w:rsid w:val="008669F9"/>
    <w:rsid w:val="00866C2E"/>
    <w:rsid w:val="00867CBC"/>
    <w:rsid w:val="00867F89"/>
    <w:rsid w:val="008801DB"/>
    <w:rsid w:val="00880559"/>
    <w:rsid w:val="0088357E"/>
    <w:rsid w:val="00884DB4"/>
    <w:rsid w:val="00885139"/>
    <w:rsid w:val="00887097"/>
    <w:rsid w:val="008872F7"/>
    <w:rsid w:val="00890FF7"/>
    <w:rsid w:val="00892CD6"/>
    <w:rsid w:val="00893244"/>
    <w:rsid w:val="00893809"/>
    <w:rsid w:val="00893829"/>
    <w:rsid w:val="0089386B"/>
    <w:rsid w:val="00895266"/>
    <w:rsid w:val="00896EDE"/>
    <w:rsid w:val="00896F76"/>
    <w:rsid w:val="008A4B86"/>
    <w:rsid w:val="008A531F"/>
    <w:rsid w:val="008A57A0"/>
    <w:rsid w:val="008B65CC"/>
    <w:rsid w:val="008B7E84"/>
    <w:rsid w:val="008C08A2"/>
    <w:rsid w:val="008C16CA"/>
    <w:rsid w:val="008C2BC3"/>
    <w:rsid w:val="008C5668"/>
    <w:rsid w:val="008C5DCE"/>
    <w:rsid w:val="008C662E"/>
    <w:rsid w:val="008D1624"/>
    <w:rsid w:val="008D2BA1"/>
    <w:rsid w:val="008D6D67"/>
    <w:rsid w:val="008E25F1"/>
    <w:rsid w:val="008E3513"/>
    <w:rsid w:val="008F0ABE"/>
    <w:rsid w:val="008F23C1"/>
    <w:rsid w:val="008F4D1B"/>
    <w:rsid w:val="008F57B6"/>
    <w:rsid w:val="008F5B56"/>
    <w:rsid w:val="008F6913"/>
    <w:rsid w:val="008F69B9"/>
    <w:rsid w:val="008F7E10"/>
    <w:rsid w:val="009002F3"/>
    <w:rsid w:val="00902302"/>
    <w:rsid w:val="0090443F"/>
    <w:rsid w:val="00905A56"/>
    <w:rsid w:val="00905E19"/>
    <w:rsid w:val="00911345"/>
    <w:rsid w:val="00911976"/>
    <w:rsid w:val="00913DB0"/>
    <w:rsid w:val="00915FB3"/>
    <w:rsid w:val="00916263"/>
    <w:rsid w:val="00916C5C"/>
    <w:rsid w:val="009212A5"/>
    <w:rsid w:val="00921689"/>
    <w:rsid w:val="00921FE0"/>
    <w:rsid w:val="00925DF0"/>
    <w:rsid w:val="00926871"/>
    <w:rsid w:val="00934FCE"/>
    <w:rsid w:val="00935BFE"/>
    <w:rsid w:val="0094056F"/>
    <w:rsid w:val="0094088A"/>
    <w:rsid w:val="00945F67"/>
    <w:rsid w:val="00951019"/>
    <w:rsid w:val="00952241"/>
    <w:rsid w:val="00955E0E"/>
    <w:rsid w:val="0096153D"/>
    <w:rsid w:val="00963808"/>
    <w:rsid w:val="00964436"/>
    <w:rsid w:val="0097025B"/>
    <w:rsid w:val="009711FC"/>
    <w:rsid w:val="009733EE"/>
    <w:rsid w:val="009747F1"/>
    <w:rsid w:val="00980D48"/>
    <w:rsid w:val="0098223D"/>
    <w:rsid w:val="009862D9"/>
    <w:rsid w:val="00992458"/>
    <w:rsid w:val="0099535D"/>
    <w:rsid w:val="0099689F"/>
    <w:rsid w:val="0099718B"/>
    <w:rsid w:val="009A0482"/>
    <w:rsid w:val="009A1F83"/>
    <w:rsid w:val="009A59C6"/>
    <w:rsid w:val="009A5ADF"/>
    <w:rsid w:val="009A75CB"/>
    <w:rsid w:val="009B1EA2"/>
    <w:rsid w:val="009B2604"/>
    <w:rsid w:val="009B3097"/>
    <w:rsid w:val="009B460A"/>
    <w:rsid w:val="009B68BF"/>
    <w:rsid w:val="009B6EA5"/>
    <w:rsid w:val="009C064E"/>
    <w:rsid w:val="009C087A"/>
    <w:rsid w:val="009C269F"/>
    <w:rsid w:val="009C26BA"/>
    <w:rsid w:val="009C38EE"/>
    <w:rsid w:val="009C5AC0"/>
    <w:rsid w:val="009D0046"/>
    <w:rsid w:val="009D0A8D"/>
    <w:rsid w:val="009D1280"/>
    <w:rsid w:val="009D37E0"/>
    <w:rsid w:val="009D426F"/>
    <w:rsid w:val="009D42D4"/>
    <w:rsid w:val="009D71E9"/>
    <w:rsid w:val="009E0D72"/>
    <w:rsid w:val="009E31A5"/>
    <w:rsid w:val="009E33E8"/>
    <w:rsid w:val="009E3676"/>
    <w:rsid w:val="009E4248"/>
    <w:rsid w:val="009E5BBB"/>
    <w:rsid w:val="009E605B"/>
    <w:rsid w:val="00A01077"/>
    <w:rsid w:val="00A0151A"/>
    <w:rsid w:val="00A0448D"/>
    <w:rsid w:val="00A0535B"/>
    <w:rsid w:val="00A05529"/>
    <w:rsid w:val="00A06122"/>
    <w:rsid w:val="00A06F5E"/>
    <w:rsid w:val="00A07860"/>
    <w:rsid w:val="00A078A4"/>
    <w:rsid w:val="00A1005B"/>
    <w:rsid w:val="00A13AF3"/>
    <w:rsid w:val="00A14A92"/>
    <w:rsid w:val="00A20490"/>
    <w:rsid w:val="00A217BD"/>
    <w:rsid w:val="00A21BF1"/>
    <w:rsid w:val="00A21C25"/>
    <w:rsid w:val="00A21C8D"/>
    <w:rsid w:val="00A24717"/>
    <w:rsid w:val="00A26B51"/>
    <w:rsid w:val="00A27141"/>
    <w:rsid w:val="00A30267"/>
    <w:rsid w:val="00A427D4"/>
    <w:rsid w:val="00A444AF"/>
    <w:rsid w:val="00A50249"/>
    <w:rsid w:val="00A50A83"/>
    <w:rsid w:val="00A50D51"/>
    <w:rsid w:val="00A530E4"/>
    <w:rsid w:val="00A55C0C"/>
    <w:rsid w:val="00A57CD2"/>
    <w:rsid w:val="00A61E2D"/>
    <w:rsid w:val="00A648AC"/>
    <w:rsid w:val="00A665DD"/>
    <w:rsid w:val="00A66D9E"/>
    <w:rsid w:val="00A67608"/>
    <w:rsid w:val="00A67E86"/>
    <w:rsid w:val="00A70086"/>
    <w:rsid w:val="00A70764"/>
    <w:rsid w:val="00A718A6"/>
    <w:rsid w:val="00A74D39"/>
    <w:rsid w:val="00A80771"/>
    <w:rsid w:val="00A81F24"/>
    <w:rsid w:val="00A8431C"/>
    <w:rsid w:val="00A90A2D"/>
    <w:rsid w:val="00A90BD8"/>
    <w:rsid w:val="00A92A02"/>
    <w:rsid w:val="00A94DAC"/>
    <w:rsid w:val="00A94EBF"/>
    <w:rsid w:val="00A94F2F"/>
    <w:rsid w:val="00A9519B"/>
    <w:rsid w:val="00A96BE4"/>
    <w:rsid w:val="00A97A3B"/>
    <w:rsid w:val="00AA3E1F"/>
    <w:rsid w:val="00AA4AB4"/>
    <w:rsid w:val="00AB305C"/>
    <w:rsid w:val="00AB307D"/>
    <w:rsid w:val="00AB34ED"/>
    <w:rsid w:val="00AB5500"/>
    <w:rsid w:val="00AB550E"/>
    <w:rsid w:val="00AB6406"/>
    <w:rsid w:val="00AB69EB"/>
    <w:rsid w:val="00AB6D5E"/>
    <w:rsid w:val="00AC1142"/>
    <w:rsid w:val="00AC3D9A"/>
    <w:rsid w:val="00AC3E19"/>
    <w:rsid w:val="00AC48A4"/>
    <w:rsid w:val="00AC4F02"/>
    <w:rsid w:val="00AC53E1"/>
    <w:rsid w:val="00AC6F8D"/>
    <w:rsid w:val="00AC73FC"/>
    <w:rsid w:val="00AD1966"/>
    <w:rsid w:val="00AD3124"/>
    <w:rsid w:val="00AD4265"/>
    <w:rsid w:val="00AD6558"/>
    <w:rsid w:val="00AD65FC"/>
    <w:rsid w:val="00AD7D0A"/>
    <w:rsid w:val="00AE15FF"/>
    <w:rsid w:val="00AE4E54"/>
    <w:rsid w:val="00AE503F"/>
    <w:rsid w:val="00AE77E8"/>
    <w:rsid w:val="00AF1540"/>
    <w:rsid w:val="00AF1E86"/>
    <w:rsid w:val="00AF494A"/>
    <w:rsid w:val="00AF49AC"/>
    <w:rsid w:val="00AF4A04"/>
    <w:rsid w:val="00B00857"/>
    <w:rsid w:val="00B01432"/>
    <w:rsid w:val="00B03C1B"/>
    <w:rsid w:val="00B04387"/>
    <w:rsid w:val="00B0488B"/>
    <w:rsid w:val="00B07132"/>
    <w:rsid w:val="00B1310A"/>
    <w:rsid w:val="00B17732"/>
    <w:rsid w:val="00B17DD8"/>
    <w:rsid w:val="00B20303"/>
    <w:rsid w:val="00B23520"/>
    <w:rsid w:val="00B25598"/>
    <w:rsid w:val="00B258D5"/>
    <w:rsid w:val="00B3088C"/>
    <w:rsid w:val="00B31430"/>
    <w:rsid w:val="00B4217D"/>
    <w:rsid w:val="00B4601B"/>
    <w:rsid w:val="00B47C97"/>
    <w:rsid w:val="00B51255"/>
    <w:rsid w:val="00B53F77"/>
    <w:rsid w:val="00B55524"/>
    <w:rsid w:val="00B55C17"/>
    <w:rsid w:val="00B56DA8"/>
    <w:rsid w:val="00B6053F"/>
    <w:rsid w:val="00B648D4"/>
    <w:rsid w:val="00B6520A"/>
    <w:rsid w:val="00B65AA2"/>
    <w:rsid w:val="00B67E2D"/>
    <w:rsid w:val="00B67E4C"/>
    <w:rsid w:val="00B7136E"/>
    <w:rsid w:val="00B739C3"/>
    <w:rsid w:val="00B75769"/>
    <w:rsid w:val="00B85EA6"/>
    <w:rsid w:val="00B90DE2"/>
    <w:rsid w:val="00B94251"/>
    <w:rsid w:val="00B94FE6"/>
    <w:rsid w:val="00B953D2"/>
    <w:rsid w:val="00B96741"/>
    <w:rsid w:val="00B97CE1"/>
    <w:rsid w:val="00BA2B7A"/>
    <w:rsid w:val="00BA4834"/>
    <w:rsid w:val="00BA7D5A"/>
    <w:rsid w:val="00BB21F5"/>
    <w:rsid w:val="00BB2787"/>
    <w:rsid w:val="00BB2C2B"/>
    <w:rsid w:val="00BB2C6C"/>
    <w:rsid w:val="00BB2EAC"/>
    <w:rsid w:val="00BB5F1D"/>
    <w:rsid w:val="00BB6B74"/>
    <w:rsid w:val="00BC3A97"/>
    <w:rsid w:val="00BC509D"/>
    <w:rsid w:val="00BC5A1A"/>
    <w:rsid w:val="00BC5A92"/>
    <w:rsid w:val="00BC7942"/>
    <w:rsid w:val="00BD0B0B"/>
    <w:rsid w:val="00BD17E8"/>
    <w:rsid w:val="00BD416F"/>
    <w:rsid w:val="00BE0B52"/>
    <w:rsid w:val="00BE7AD4"/>
    <w:rsid w:val="00BE7B2B"/>
    <w:rsid w:val="00BF066A"/>
    <w:rsid w:val="00BF1370"/>
    <w:rsid w:val="00BF1CA9"/>
    <w:rsid w:val="00BF3CB9"/>
    <w:rsid w:val="00BF4F0C"/>
    <w:rsid w:val="00BF5569"/>
    <w:rsid w:val="00BF5911"/>
    <w:rsid w:val="00BF76FE"/>
    <w:rsid w:val="00C0005A"/>
    <w:rsid w:val="00C02870"/>
    <w:rsid w:val="00C0442B"/>
    <w:rsid w:val="00C049C2"/>
    <w:rsid w:val="00C076B9"/>
    <w:rsid w:val="00C10956"/>
    <w:rsid w:val="00C110A1"/>
    <w:rsid w:val="00C20160"/>
    <w:rsid w:val="00C27CA0"/>
    <w:rsid w:val="00C3006E"/>
    <w:rsid w:val="00C32917"/>
    <w:rsid w:val="00C33408"/>
    <w:rsid w:val="00C35E48"/>
    <w:rsid w:val="00C3605F"/>
    <w:rsid w:val="00C36182"/>
    <w:rsid w:val="00C4168B"/>
    <w:rsid w:val="00C4382A"/>
    <w:rsid w:val="00C443FF"/>
    <w:rsid w:val="00C45A44"/>
    <w:rsid w:val="00C460AB"/>
    <w:rsid w:val="00C46C53"/>
    <w:rsid w:val="00C4755C"/>
    <w:rsid w:val="00C47854"/>
    <w:rsid w:val="00C52171"/>
    <w:rsid w:val="00C574C3"/>
    <w:rsid w:val="00C62565"/>
    <w:rsid w:val="00C626D3"/>
    <w:rsid w:val="00C6419E"/>
    <w:rsid w:val="00C665D7"/>
    <w:rsid w:val="00C70F0E"/>
    <w:rsid w:val="00C7235B"/>
    <w:rsid w:val="00C72D12"/>
    <w:rsid w:val="00C7370D"/>
    <w:rsid w:val="00C7438B"/>
    <w:rsid w:val="00C74468"/>
    <w:rsid w:val="00C75270"/>
    <w:rsid w:val="00C77834"/>
    <w:rsid w:val="00C80471"/>
    <w:rsid w:val="00C813E7"/>
    <w:rsid w:val="00C82A66"/>
    <w:rsid w:val="00C844C0"/>
    <w:rsid w:val="00C84756"/>
    <w:rsid w:val="00C867EF"/>
    <w:rsid w:val="00C87BED"/>
    <w:rsid w:val="00C92648"/>
    <w:rsid w:val="00C933A8"/>
    <w:rsid w:val="00C948E7"/>
    <w:rsid w:val="00C96982"/>
    <w:rsid w:val="00C9781E"/>
    <w:rsid w:val="00CA023C"/>
    <w:rsid w:val="00CA0C52"/>
    <w:rsid w:val="00CA3144"/>
    <w:rsid w:val="00CA35B0"/>
    <w:rsid w:val="00CA4D6E"/>
    <w:rsid w:val="00CA6DD2"/>
    <w:rsid w:val="00CA7895"/>
    <w:rsid w:val="00CB0766"/>
    <w:rsid w:val="00CB15B9"/>
    <w:rsid w:val="00CB1ADB"/>
    <w:rsid w:val="00CB48A4"/>
    <w:rsid w:val="00CB554F"/>
    <w:rsid w:val="00CB5581"/>
    <w:rsid w:val="00CB7334"/>
    <w:rsid w:val="00CC05F6"/>
    <w:rsid w:val="00CC28F8"/>
    <w:rsid w:val="00CC2B59"/>
    <w:rsid w:val="00CC5296"/>
    <w:rsid w:val="00CC6824"/>
    <w:rsid w:val="00CD5634"/>
    <w:rsid w:val="00CE42F2"/>
    <w:rsid w:val="00CE5B8B"/>
    <w:rsid w:val="00CF021F"/>
    <w:rsid w:val="00CF2905"/>
    <w:rsid w:val="00CF3C5D"/>
    <w:rsid w:val="00CF49C2"/>
    <w:rsid w:val="00CF50E2"/>
    <w:rsid w:val="00CF7E72"/>
    <w:rsid w:val="00D032C1"/>
    <w:rsid w:val="00D049ED"/>
    <w:rsid w:val="00D06644"/>
    <w:rsid w:val="00D06DAC"/>
    <w:rsid w:val="00D0726F"/>
    <w:rsid w:val="00D12BD0"/>
    <w:rsid w:val="00D1339E"/>
    <w:rsid w:val="00D1365B"/>
    <w:rsid w:val="00D16D6E"/>
    <w:rsid w:val="00D17F63"/>
    <w:rsid w:val="00D217F7"/>
    <w:rsid w:val="00D24222"/>
    <w:rsid w:val="00D2549E"/>
    <w:rsid w:val="00D273E4"/>
    <w:rsid w:val="00D309A4"/>
    <w:rsid w:val="00D30BCD"/>
    <w:rsid w:val="00D30EA3"/>
    <w:rsid w:val="00D30FFB"/>
    <w:rsid w:val="00D3296E"/>
    <w:rsid w:val="00D37BAA"/>
    <w:rsid w:val="00D40404"/>
    <w:rsid w:val="00D41BEF"/>
    <w:rsid w:val="00D42717"/>
    <w:rsid w:val="00D4616C"/>
    <w:rsid w:val="00D47F48"/>
    <w:rsid w:val="00D507EB"/>
    <w:rsid w:val="00D50AD4"/>
    <w:rsid w:val="00D51A8A"/>
    <w:rsid w:val="00D545F3"/>
    <w:rsid w:val="00D54FC9"/>
    <w:rsid w:val="00D5672D"/>
    <w:rsid w:val="00D57436"/>
    <w:rsid w:val="00D57B27"/>
    <w:rsid w:val="00D6061C"/>
    <w:rsid w:val="00D62FBE"/>
    <w:rsid w:val="00D6393F"/>
    <w:rsid w:val="00D6731B"/>
    <w:rsid w:val="00D71FB5"/>
    <w:rsid w:val="00D73C8C"/>
    <w:rsid w:val="00D73E5C"/>
    <w:rsid w:val="00D85270"/>
    <w:rsid w:val="00D86330"/>
    <w:rsid w:val="00D863D0"/>
    <w:rsid w:val="00D8650A"/>
    <w:rsid w:val="00D8675B"/>
    <w:rsid w:val="00D874FF"/>
    <w:rsid w:val="00D90C60"/>
    <w:rsid w:val="00D921D2"/>
    <w:rsid w:val="00D93B51"/>
    <w:rsid w:val="00D96B32"/>
    <w:rsid w:val="00DA2829"/>
    <w:rsid w:val="00DA35BD"/>
    <w:rsid w:val="00DA4617"/>
    <w:rsid w:val="00DA4F70"/>
    <w:rsid w:val="00DA6F74"/>
    <w:rsid w:val="00DA70D4"/>
    <w:rsid w:val="00DB148A"/>
    <w:rsid w:val="00DB1603"/>
    <w:rsid w:val="00DB1E44"/>
    <w:rsid w:val="00DB6A3F"/>
    <w:rsid w:val="00DB788A"/>
    <w:rsid w:val="00DC0227"/>
    <w:rsid w:val="00DC08BA"/>
    <w:rsid w:val="00DC08E0"/>
    <w:rsid w:val="00DC56B9"/>
    <w:rsid w:val="00DC577B"/>
    <w:rsid w:val="00DC5B43"/>
    <w:rsid w:val="00DC61E6"/>
    <w:rsid w:val="00DC676A"/>
    <w:rsid w:val="00DD0195"/>
    <w:rsid w:val="00DD03AC"/>
    <w:rsid w:val="00DD04DC"/>
    <w:rsid w:val="00DD1B68"/>
    <w:rsid w:val="00DD468F"/>
    <w:rsid w:val="00DD5D72"/>
    <w:rsid w:val="00DE261C"/>
    <w:rsid w:val="00DE2F7C"/>
    <w:rsid w:val="00DE442F"/>
    <w:rsid w:val="00DE76BA"/>
    <w:rsid w:val="00DF18E1"/>
    <w:rsid w:val="00DF377A"/>
    <w:rsid w:val="00DF5DDC"/>
    <w:rsid w:val="00E01B99"/>
    <w:rsid w:val="00E025A3"/>
    <w:rsid w:val="00E03BCB"/>
    <w:rsid w:val="00E05887"/>
    <w:rsid w:val="00E10D45"/>
    <w:rsid w:val="00E1236F"/>
    <w:rsid w:val="00E14CA5"/>
    <w:rsid w:val="00E175D7"/>
    <w:rsid w:val="00E22DA3"/>
    <w:rsid w:val="00E248C8"/>
    <w:rsid w:val="00E24CCC"/>
    <w:rsid w:val="00E2652E"/>
    <w:rsid w:val="00E268BA"/>
    <w:rsid w:val="00E26A07"/>
    <w:rsid w:val="00E37137"/>
    <w:rsid w:val="00E40C19"/>
    <w:rsid w:val="00E41697"/>
    <w:rsid w:val="00E43410"/>
    <w:rsid w:val="00E445C9"/>
    <w:rsid w:val="00E46AE4"/>
    <w:rsid w:val="00E50010"/>
    <w:rsid w:val="00E511AC"/>
    <w:rsid w:val="00E5188F"/>
    <w:rsid w:val="00E53046"/>
    <w:rsid w:val="00E5376F"/>
    <w:rsid w:val="00E546B4"/>
    <w:rsid w:val="00E556F1"/>
    <w:rsid w:val="00E55FC8"/>
    <w:rsid w:val="00E64CE7"/>
    <w:rsid w:val="00E65C32"/>
    <w:rsid w:val="00E65FB5"/>
    <w:rsid w:val="00E66CB3"/>
    <w:rsid w:val="00E675C5"/>
    <w:rsid w:val="00E67CBF"/>
    <w:rsid w:val="00E719DA"/>
    <w:rsid w:val="00E74CFC"/>
    <w:rsid w:val="00E75C63"/>
    <w:rsid w:val="00E75CCA"/>
    <w:rsid w:val="00E77503"/>
    <w:rsid w:val="00E80364"/>
    <w:rsid w:val="00E82812"/>
    <w:rsid w:val="00E82A5D"/>
    <w:rsid w:val="00E84D65"/>
    <w:rsid w:val="00E850EC"/>
    <w:rsid w:val="00E85CD3"/>
    <w:rsid w:val="00E87238"/>
    <w:rsid w:val="00E87887"/>
    <w:rsid w:val="00E87E70"/>
    <w:rsid w:val="00E92EDE"/>
    <w:rsid w:val="00E948DE"/>
    <w:rsid w:val="00E9490F"/>
    <w:rsid w:val="00E966FF"/>
    <w:rsid w:val="00EA12BC"/>
    <w:rsid w:val="00EA289A"/>
    <w:rsid w:val="00EA2DEE"/>
    <w:rsid w:val="00EA2FCE"/>
    <w:rsid w:val="00EA5898"/>
    <w:rsid w:val="00EA6065"/>
    <w:rsid w:val="00EA6E08"/>
    <w:rsid w:val="00EB07D9"/>
    <w:rsid w:val="00EB123D"/>
    <w:rsid w:val="00EB317C"/>
    <w:rsid w:val="00EB394C"/>
    <w:rsid w:val="00EB45DE"/>
    <w:rsid w:val="00EB4B27"/>
    <w:rsid w:val="00EB643D"/>
    <w:rsid w:val="00EB6AD0"/>
    <w:rsid w:val="00EB724F"/>
    <w:rsid w:val="00EC4B7C"/>
    <w:rsid w:val="00EC5B58"/>
    <w:rsid w:val="00ED368E"/>
    <w:rsid w:val="00ED3A0D"/>
    <w:rsid w:val="00ED5A66"/>
    <w:rsid w:val="00ED7F42"/>
    <w:rsid w:val="00EE174A"/>
    <w:rsid w:val="00EE1E32"/>
    <w:rsid w:val="00EE4522"/>
    <w:rsid w:val="00EE720C"/>
    <w:rsid w:val="00EE7A8C"/>
    <w:rsid w:val="00EF08D3"/>
    <w:rsid w:val="00EF1351"/>
    <w:rsid w:val="00EF192B"/>
    <w:rsid w:val="00EF3CC9"/>
    <w:rsid w:val="00EF5B08"/>
    <w:rsid w:val="00EF798F"/>
    <w:rsid w:val="00F05BC5"/>
    <w:rsid w:val="00F07F21"/>
    <w:rsid w:val="00F105E8"/>
    <w:rsid w:val="00F15ACF"/>
    <w:rsid w:val="00F16548"/>
    <w:rsid w:val="00F176A6"/>
    <w:rsid w:val="00F2004E"/>
    <w:rsid w:val="00F213AB"/>
    <w:rsid w:val="00F233E7"/>
    <w:rsid w:val="00F26196"/>
    <w:rsid w:val="00F27010"/>
    <w:rsid w:val="00F329F0"/>
    <w:rsid w:val="00F33457"/>
    <w:rsid w:val="00F352F4"/>
    <w:rsid w:val="00F40B73"/>
    <w:rsid w:val="00F4106E"/>
    <w:rsid w:val="00F45EDD"/>
    <w:rsid w:val="00F46289"/>
    <w:rsid w:val="00F500F9"/>
    <w:rsid w:val="00F50424"/>
    <w:rsid w:val="00F51B21"/>
    <w:rsid w:val="00F521C3"/>
    <w:rsid w:val="00F5577F"/>
    <w:rsid w:val="00F610E2"/>
    <w:rsid w:val="00F6729F"/>
    <w:rsid w:val="00F67BF7"/>
    <w:rsid w:val="00F70642"/>
    <w:rsid w:val="00F70E12"/>
    <w:rsid w:val="00F730C8"/>
    <w:rsid w:val="00F732E7"/>
    <w:rsid w:val="00F73E49"/>
    <w:rsid w:val="00F80ADC"/>
    <w:rsid w:val="00F84110"/>
    <w:rsid w:val="00F87315"/>
    <w:rsid w:val="00F92170"/>
    <w:rsid w:val="00F942C5"/>
    <w:rsid w:val="00F94444"/>
    <w:rsid w:val="00F95C15"/>
    <w:rsid w:val="00F95C45"/>
    <w:rsid w:val="00F962E0"/>
    <w:rsid w:val="00FA22AD"/>
    <w:rsid w:val="00FA2BC1"/>
    <w:rsid w:val="00FA2DCC"/>
    <w:rsid w:val="00FA4DC3"/>
    <w:rsid w:val="00FA4F82"/>
    <w:rsid w:val="00FA4F8F"/>
    <w:rsid w:val="00FA56D2"/>
    <w:rsid w:val="00FA61CA"/>
    <w:rsid w:val="00FB02ED"/>
    <w:rsid w:val="00FB037E"/>
    <w:rsid w:val="00FB07F8"/>
    <w:rsid w:val="00FC1CCC"/>
    <w:rsid w:val="00FC3371"/>
    <w:rsid w:val="00FC3AFD"/>
    <w:rsid w:val="00FC5387"/>
    <w:rsid w:val="00FC710D"/>
    <w:rsid w:val="00FC758B"/>
    <w:rsid w:val="00FD4513"/>
    <w:rsid w:val="00FD4E63"/>
    <w:rsid w:val="00FD6DB2"/>
    <w:rsid w:val="00FD7C44"/>
    <w:rsid w:val="00FE0A1A"/>
    <w:rsid w:val="00FE2E36"/>
    <w:rsid w:val="00FE392E"/>
    <w:rsid w:val="00FE3CE7"/>
    <w:rsid w:val="00FE409C"/>
    <w:rsid w:val="00FE5E53"/>
    <w:rsid w:val="00FE7F4A"/>
    <w:rsid w:val="00FF1CF4"/>
    <w:rsid w:val="00FF237B"/>
    <w:rsid w:val="00FF295A"/>
    <w:rsid w:val="00FF2DAF"/>
    <w:rsid w:val="00FF599C"/>
    <w:rsid w:val="00FF5C5D"/>
    <w:rsid w:val="00FF70D4"/>
    <w:rsid w:val="35780D90"/>
    <w:rsid w:val="67323F0F"/>
    <w:rsid w:val="698D87AC"/>
    <w:rsid w:val="706EAAE3"/>
    <w:rsid w:val="76625FD1"/>
    <w:rsid w:val="784327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5C9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6F5E"/>
    <w:pPr>
      <w:keepNext/>
      <w:keepLines/>
      <w:numPr>
        <w:numId w:val="3"/>
      </w:numPr>
      <w:spacing w:before="240" w:after="0" w:line="259" w:lineRule="auto"/>
      <w:outlineLvl w:val="0"/>
    </w:pPr>
    <w:rPr>
      <w:rFonts w:asciiTheme="majorHAnsi" w:eastAsiaTheme="majorEastAsia" w:hAnsiTheme="majorHAnsi" w:cstheme="majorBidi"/>
      <w:color w:val="365F91" w:themeColor="accent1" w:themeShade="BF"/>
      <w:sz w:val="32"/>
      <w:szCs w:val="32"/>
      <w:lang w:val="en-GB"/>
    </w:rPr>
  </w:style>
  <w:style w:type="paragraph" w:styleId="Heading2">
    <w:name w:val="heading 2"/>
    <w:basedOn w:val="Normal"/>
    <w:next w:val="Normal"/>
    <w:link w:val="Heading2Char"/>
    <w:uiPriority w:val="9"/>
    <w:unhideWhenUsed/>
    <w:qFormat/>
    <w:rsid w:val="00A06F5E"/>
    <w:pPr>
      <w:keepNext/>
      <w:keepLines/>
      <w:numPr>
        <w:ilvl w:val="1"/>
        <w:numId w:val="3"/>
      </w:numPr>
      <w:spacing w:before="40" w:after="0" w:line="259" w:lineRule="auto"/>
      <w:ind w:left="576"/>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next w:val="Normal"/>
    <w:link w:val="Heading3Char"/>
    <w:uiPriority w:val="9"/>
    <w:unhideWhenUsed/>
    <w:qFormat/>
    <w:rsid w:val="00A06F5E"/>
    <w:pPr>
      <w:keepNext/>
      <w:keepLines/>
      <w:numPr>
        <w:ilvl w:val="2"/>
        <w:numId w:val="3"/>
      </w:numPr>
      <w:spacing w:before="40" w:after="0" w:line="259" w:lineRule="auto"/>
      <w:outlineLvl w:val="2"/>
    </w:pPr>
    <w:rPr>
      <w:rFonts w:asciiTheme="majorHAnsi" w:eastAsiaTheme="majorEastAsia" w:hAnsiTheme="majorHAnsi" w:cstheme="majorBidi"/>
      <w:color w:val="243F60" w:themeColor="accent1" w:themeShade="7F"/>
      <w:sz w:val="24"/>
      <w:szCs w:val="24"/>
      <w:lang w:val="en-GB"/>
    </w:rPr>
  </w:style>
  <w:style w:type="paragraph" w:styleId="Heading4">
    <w:name w:val="heading 4"/>
    <w:basedOn w:val="Normal"/>
    <w:next w:val="Normal"/>
    <w:link w:val="Heading4Char"/>
    <w:uiPriority w:val="9"/>
    <w:unhideWhenUsed/>
    <w:qFormat/>
    <w:rsid w:val="00A06F5E"/>
    <w:pPr>
      <w:keepNext/>
      <w:keepLines/>
      <w:numPr>
        <w:ilvl w:val="3"/>
        <w:numId w:val="3"/>
      </w:numPr>
      <w:spacing w:before="40" w:after="0" w:line="259" w:lineRule="auto"/>
      <w:outlineLvl w:val="3"/>
    </w:pPr>
    <w:rPr>
      <w:rFonts w:asciiTheme="majorHAnsi" w:eastAsiaTheme="majorEastAsia" w:hAnsiTheme="majorHAnsi" w:cstheme="majorBidi"/>
      <w:i/>
      <w:iCs/>
      <w:color w:val="365F91" w:themeColor="accent1" w:themeShade="BF"/>
      <w:lang w:val="en-GB"/>
    </w:rPr>
  </w:style>
  <w:style w:type="paragraph" w:styleId="Heading5">
    <w:name w:val="heading 5"/>
    <w:basedOn w:val="Normal"/>
    <w:next w:val="Normal"/>
    <w:link w:val="Heading5Char"/>
    <w:uiPriority w:val="9"/>
    <w:semiHidden/>
    <w:unhideWhenUsed/>
    <w:qFormat/>
    <w:rsid w:val="00A06F5E"/>
    <w:pPr>
      <w:keepNext/>
      <w:keepLines/>
      <w:numPr>
        <w:ilvl w:val="4"/>
        <w:numId w:val="3"/>
      </w:numPr>
      <w:spacing w:before="40" w:after="0" w:line="259" w:lineRule="auto"/>
      <w:outlineLvl w:val="4"/>
    </w:pPr>
    <w:rPr>
      <w:rFonts w:asciiTheme="majorHAnsi" w:eastAsiaTheme="majorEastAsia" w:hAnsiTheme="majorHAnsi" w:cstheme="majorBidi"/>
      <w:color w:val="365F91" w:themeColor="accent1" w:themeShade="BF"/>
      <w:lang w:val="en-GB"/>
    </w:rPr>
  </w:style>
  <w:style w:type="paragraph" w:styleId="Heading6">
    <w:name w:val="heading 6"/>
    <w:basedOn w:val="Normal"/>
    <w:next w:val="Normal"/>
    <w:link w:val="Heading6Char"/>
    <w:uiPriority w:val="9"/>
    <w:semiHidden/>
    <w:unhideWhenUsed/>
    <w:qFormat/>
    <w:rsid w:val="00A06F5E"/>
    <w:pPr>
      <w:keepNext/>
      <w:keepLines/>
      <w:numPr>
        <w:ilvl w:val="5"/>
        <w:numId w:val="3"/>
      </w:numPr>
      <w:spacing w:before="40" w:after="0" w:line="259" w:lineRule="auto"/>
      <w:outlineLvl w:val="5"/>
    </w:pPr>
    <w:rPr>
      <w:rFonts w:asciiTheme="majorHAnsi" w:eastAsiaTheme="majorEastAsia" w:hAnsiTheme="majorHAnsi" w:cstheme="majorBidi"/>
      <w:color w:val="243F60" w:themeColor="accent1" w:themeShade="7F"/>
      <w:lang w:val="en-GB"/>
    </w:rPr>
  </w:style>
  <w:style w:type="paragraph" w:styleId="Heading7">
    <w:name w:val="heading 7"/>
    <w:basedOn w:val="Normal"/>
    <w:next w:val="Normal"/>
    <w:link w:val="Heading7Char"/>
    <w:uiPriority w:val="9"/>
    <w:semiHidden/>
    <w:unhideWhenUsed/>
    <w:qFormat/>
    <w:rsid w:val="00A06F5E"/>
    <w:pPr>
      <w:keepNext/>
      <w:keepLines/>
      <w:numPr>
        <w:ilvl w:val="6"/>
        <w:numId w:val="3"/>
      </w:numPr>
      <w:spacing w:before="40" w:after="0" w:line="259" w:lineRule="auto"/>
      <w:outlineLvl w:val="6"/>
    </w:pPr>
    <w:rPr>
      <w:rFonts w:asciiTheme="majorHAnsi" w:eastAsiaTheme="majorEastAsia" w:hAnsiTheme="majorHAnsi" w:cstheme="majorBidi"/>
      <w:i/>
      <w:iCs/>
      <w:color w:val="243F60" w:themeColor="accent1" w:themeShade="7F"/>
      <w:lang w:val="en-GB"/>
    </w:rPr>
  </w:style>
  <w:style w:type="paragraph" w:styleId="Heading8">
    <w:name w:val="heading 8"/>
    <w:basedOn w:val="Normal"/>
    <w:next w:val="Normal"/>
    <w:link w:val="Heading8Char"/>
    <w:uiPriority w:val="9"/>
    <w:semiHidden/>
    <w:unhideWhenUsed/>
    <w:qFormat/>
    <w:rsid w:val="00A06F5E"/>
    <w:pPr>
      <w:keepNext/>
      <w:keepLines/>
      <w:numPr>
        <w:ilvl w:val="7"/>
        <w:numId w:val="3"/>
      </w:numPr>
      <w:spacing w:before="40" w:after="0" w:line="259" w:lineRule="auto"/>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A06F5E"/>
    <w:pPr>
      <w:keepNext/>
      <w:keepLines/>
      <w:numPr>
        <w:ilvl w:val="8"/>
        <w:numId w:val="3"/>
      </w:numPr>
      <w:spacing w:before="40" w:after="0" w:line="259" w:lineRule="auto"/>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e EI,Paragraphe de liste1,EC,Colorful List Accent 1,Paragraphe de liste11,Liste couleur - Accent 11,Paragraphe de liste2,RUS List,Issue Action POC,List Paragraph1,3,POCG Table Text,Dot pt,F5 List Paragraph,Indicator Text,Bullet 1"/>
    <w:basedOn w:val="Normal"/>
    <w:link w:val="ListParagraphChar"/>
    <w:uiPriority w:val="34"/>
    <w:qFormat/>
    <w:rsid w:val="00495096"/>
    <w:pPr>
      <w:autoSpaceDE w:val="0"/>
      <w:autoSpaceDN w:val="0"/>
      <w:adjustRightInd w:val="0"/>
      <w:spacing w:before="120" w:after="0" w:line="240" w:lineRule="auto"/>
      <w:ind w:left="2669" w:right="115" w:hanging="2552"/>
    </w:pPr>
    <w:rPr>
      <w:rFonts w:ascii="Calibri" w:hAnsi="Calibri" w:cs="Calibri"/>
      <w:sz w:val="24"/>
      <w:szCs w:val="24"/>
    </w:rPr>
  </w:style>
  <w:style w:type="paragraph" w:customStyle="1" w:styleId="Default">
    <w:name w:val="Default"/>
    <w:rsid w:val="00890FF7"/>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FB0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5652A"/>
    <w:pPr>
      <w:autoSpaceDE w:val="0"/>
      <w:autoSpaceDN w:val="0"/>
      <w:adjustRightInd w:val="0"/>
      <w:spacing w:before="54" w:after="0" w:line="240" w:lineRule="auto"/>
      <w:ind w:left="57"/>
    </w:pPr>
    <w:rPr>
      <w:rFonts w:ascii="Calibri" w:hAnsi="Calibri" w:cs="Calibri"/>
      <w:sz w:val="24"/>
      <w:szCs w:val="24"/>
    </w:rPr>
  </w:style>
  <w:style w:type="paragraph" w:styleId="Header">
    <w:name w:val="header"/>
    <w:basedOn w:val="Normal"/>
    <w:link w:val="HeaderChar"/>
    <w:uiPriority w:val="99"/>
    <w:unhideWhenUsed/>
    <w:rsid w:val="006308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8B0"/>
  </w:style>
  <w:style w:type="paragraph" w:styleId="Footer">
    <w:name w:val="footer"/>
    <w:basedOn w:val="Normal"/>
    <w:link w:val="FooterChar"/>
    <w:uiPriority w:val="99"/>
    <w:unhideWhenUsed/>
    <w:rsid w:val="006308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8B0"/>
  </w:style>
  <w:style w:type="paragraph" w:customStyle="1" w:styleId="CommitteeName">
    <w:name w:val="CommitteeName"/>
    <w:basedOn w:val="Normal"/>
    <w:rsid w:val="006308B0"/>
    <w:pPr>
      <w:spacing w:after="0" w:line="240" w:lineRule="auto"/>
    </w:pPr>
    <w:rPr>
      <w:rFonts w:ascii="Times New Roman" w:eastAsia="MS Mincho" w:hAnsi="Times New Roman" w:cs="Arial"/>
      <w:caps/>
      <w:spacing w:val="30"/>
      <w:sz w:val="14"/>
      <w:szCs w:val="14"/>
      <w:lang w:val="en-GB"/>
    </w:rPr>
  </w:style>
  <w:style w:type="paragraph" w:customStyle="1" w:styleId="ReportDate">
    <w:name w:val="ReportDate"/>
    <w:basedOn w:val="Normal"/>
    <w:rsid w:val="006308B0"/>
    <w:pPr>
      <w:spacing w:after="600" w:line="300" w:lineRule="exact"/>
      <w:jc w:val="right"/>
    </w:pPr>
    <w:rPr>
      <w:rFonts w:ascii="Times New Roman" w:eastAsia="MS Mincho" w:hAnsi="Times New Roman" w:cs="Arial"/>
      <w:sz w:val="24"/>
      <w:szCs w:val="24"/>
      <w:lang w:val="en-GB"/>
    </w:rPr>
  </w:style>
  <w:style w:type="character" w:customStyle="1" w:styleId="ListParagraphChar">
    <w:name w:val="List Paragraph Char"/>
    <w:aliases w:val="Paragraphe EI Char,Paragraphe de liste1 Char,EC Char,Colorful List Accent 1 Char,Paragraphe de liste11 Char,Liste couleur - Accent 11 Char,Paragraphe de liste2 Char,RUS List Char,Issue Action POC Char,List Paragraph1 Char,3 Char"/>
    <w:basedOn w:val="DefaultParagraphFont"/>
    <w:link w:val="ListParagraph"/>
    <w:uiPriority w:val="34"/>
    <w:qFormat/>
    <w:locked/>
    <w:rsid w:val="006308B0"/>
    <w:rPr>
      <w:rFonts w:ascii="Calibri" w:hAnsi="Calibri" w:cs="Calibri"/>
      <w:sz w:val="24"/>
      <w:szCs w:val="24"/>
    </w:rPr>
  </w:style>
  <w:style w:type="character" w:styleId="CommentReference">
    <w:name w:val="annotation reference"/>
    <w:basedOn w:val="DefaultParagraphFont"/>
    <w:uiPriority w:val="99"/>
    <w:unhideWhenUsed/>
    <w:rsid w:val="00195435"/>
    <w:rPr>
      <w:sz w:val="16"/>
      <w:szCs w:val="16"/>
    </w:rPr>
  </w:style>
  <w:style w:type="paragraph" w:styleId="CommentText">
    <w:name w:val="annotation text"/>
    <w:basedOn w:val="Normal"/>
    <w:link w:val="CommentTextChar"/>
    <w:uiPriority w:val="99"/>
    <w:unhideWhenUsed/>
    <w:rsid w:val="00195435"/>
    <w:pPr>
      <w:spacing w:after="160" w:line="240" w:lineRule="auto"/>
    </w:pPr>
    <w:rPr>
      <w:sz w:val="20"/>
      <w:szCs w:val="20"/>
      <w:lang w:val="en-GB"/>
    </w:rPr>
  </w:style>
  <w:style w:type="character" w:customStyle="1" w:styleId="CommentTextChar">
    <w:name w:val="Comment Text Char"/>
    <w:basedOn w:val="DefaultParagraphFont"/>
    <w:link w:val="CommentText"/>
    <w:uiPriority w:val="99"/>
    <w:rsid w:val="00195435"/>
    <w:rPr>
      <w:rFonts w:eastAsiaTheme="minorEastAsia"/>
      <w:sz w:val="20"/>
      <w:szCs w:val="20"/>
      <w:lang w:val="en-GB"/>
    </w:rPr>
  </w:style>
  <w:style w:type="paragraph" w:styleId="BalloonText">
    <w:name w:val="Balloon Text"/>
    <w:basedOn w:val="Normal"/>
    <w:link w:val="BalloonTextChar"/>
    <w:uiPriority w:val="99"/>
    <w:semiHidden/>
    <w:unhideWhenUsed/>
    <w:rsid w:val="001954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435"/>
    <w:rPr>
      <w:rFonts w:ascii="Segoe UI" w:hAnsi="Segoe UI" w:cs="Segoe UI"/>
      <w:sz w:val="18"/>
      <w:szCs w:val="18"/>
    </w:rPr>
  </w:style>
  <w:style w:type="character" w:customStyle="1" w:styleId="normaltextrun">
    <w:name w:val="normaltextrun"/>
    <w:basedOn w:val="DefaultParagraphFont"/>
    <w:rsid w:val="00DA4F70"/>
  </w:style>
  <w:style w:type="paragraph" w:styleId="FootnoteText">
    <w:name w:val="footnote text"/>
    <w:basedOn w:val="Normal"/>
    <w:link w:val="FootnoteTextChar"/>
    <w:uiPriority w:val="99"/>
    <w:unhideWhenUsed/>
    <w:rsid w:val="00964436"/>
    <w:pPr>
      <w:spacing w:after="0" w:line="240" w:lineRule="auto"/>
    </w:pPr>
    <w:rPr>
      <w:sz w:val="20"/>
      <w:szCs w:val="20"/>
    </w:rPr>
  </w:style>
  <w:style w:type="character" w:customStyle="1" w:styleId="FootnoteTextChar">
    <w:name w:val="Footnote Text Char"/>
    <w:basedOn w:val="DefaultParagraphFont"/>
    <w:link w:val="FootnoteText"/>
    <w:uiPriority w:val="99"/>
    <w:rsid w:val="00964436"/>
    <w:rPr>
      <w:sz w:val="20"/>
      <w:szCs w:val="20"/>
    </w:rPr>
  </w:style>
  <w:style w:type="character" w:styleId="FootnoteReference">
    <w:name w:val="footnote reference"/>
    <w:basedOn w:val="DefaultParagraphFont"/>
    <w:uiPriority w:val="99"/>
    <w:semiHidden/>
    <w:unhideWhenUsed/>
    <w:rsid w:val="00964436"/>
    <w:rPr>
      <w:vertAlign w:val="superscript"/>
    </w:rPr>
  </w:style>
  <w:style w:type="paragraph" w:styleId="CommentSubject">
    <w:name w:val="annotation subject"/>
    <w:basedOn w:val="CommentText"/>
    <w:next w:val="CommentText"/>
    <w:link w:val="CommentSubjectChar"/>
    <w:uiPriority w:val="99"/>
    <w:semiHidden/>
    <w:unhideWhenUsed/>
    <w:rsid w:val="00740209"/>
    <w:pPr>
      <w:spacing w:after="200"/>
    </w:pPr>
    <w:rPr>
      <w:rFonts w:eastAsiaTheme="minorHAnsi"/>
      <w:b/>
      <w:bCs/>
      <w:lang w:val="en-US"/>
    </w:rPr>
  </w:style>
  <w:style w:type="character" w:customStyle="1" w:styleId="CommentSubjectChar">
    <w:name w:val="Comment Subject Char"/>
    <w:basedOn w:val="CommentTextChar"/>
    <w:link w:val="CommentSubject"/>
    <w:uiPriority w:val="99"/>
    <w:semiHidden/>
    <w:rsid w:val="00740209"/>
    <w:rPr>
      <w:rFonts w:eastAsiaTheme="minorEastAsia"/>
      <w:b/>
      <w:bCs/>
      <w:sz w:val="20"/>
      <w:szCs w:val="20"/>
      <w:lang w:val="en-GB"/>
    </w:rPr>
  </w:style>
  <w:style w:type="paragraph" w:customStyle="1" w:styleId="paragraph">
    <w:name w:val="paragraph"/>
    <w:basedOn w:val="Normal"/>
    <w:rsid w:val="0088357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A06F5E"/>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A06F5E"/>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rsid w:val="00A06F5E"/>
    <w:rPr>
      <w:rFonts w:asciiTheme="majorHAnsi" w:eastAsiaTheme="majorEastAsia" w:hAnsiTheme="majorHAnsi" w:cstheme="majorBidi"/>
      <w:color w:val="243F60" w:themeColor="accent1" w:themeShade="7F"/>
      <w:sz w:val="24"/>
      <w:szCs w:val="24"/>
      <w:lang w:val="en-GB"/>
    </w:rPr>
  </w:style>
  <w:style w:type="character" w:customStyle="1" w:styleId="Heading4Char">
    <w:name w:val="Heading 4 Char"/>
    <w:basedOn w:val="DefaultParagraphFont"/>
    <w:link w:val="Heading4"/>
    <w:uiPriority w:val="9"/>
    <w:rsid w:val="00A06F5E"/>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uiPriority w:val="9"/>
    <w:semiHidden/>
    <w:rsid w:val="00A06F5E"/>
    <w:rPr>
      <w:rFonts w:asciiTheme="majorHAnsi" w:eastAsiaTheme="majorEastAsia" w:hAnsiTheme="majorHAnsi" w:cstheme="majorBidi"/>
      <w:color w:val="365F91" w:themeColor="accent1" w:themeShade="BF"/>
      <w:lang w:val="en-GB"/>
    </w:rPr>
  </w:style>
  <w:style w:type="character" w:customStyle="1" w:styleId="Heading6Char">
    <w:name w:val="Heading 6 Char"/>
    <w:basedOn w:val="DefaultParagraphFont"/>
    <w:link w:val="Heading6"/>
    <w:uiPriority w:val="9"/>
    <w:semiHidden/>
    <w:rsid w:val="00A06F5E"/>
    <w:rPr>
      <w:rFonts w:asciiTheme="majorHAnsi" w:eastAsiaTheme="majorEastAsia" w:hAnsiTheme="majorHAnsi" w:cstheme="majorBidi"/>
      <w:color w:val="243F60" w:themeColor="accent1" w:themeShade="7F"/>
      <w:lang w:val="en-GB"/>
    </w:rPr>
  </w:style>
  <w:style w:type="character" w:customStyle="1" w:styleId="Heading7Char">
    <w:name w:val="Heading 7 Char"/>
    <w:basedOn w:val="DefaultParagraphFont"/>
    <w:link w:val="Heading7"/>
    <w:uiPriority w:val="9"/>
    <w:semiHidden/>
    <w:rsid w:val="00A06F5E"/>
    <w:rPr>
      <w:rFonts w:asciiTheme="majorHAnsi" w:eastAsiaTheme="majorEastAsia" w:hAnsiTheme="majorHAnsi" w:cstheme="majorBidi"/>
      <w:i/>
      <w:iCs/>
      <w:color w:val="243F60" w:themeColor="accent1" w:themeShade="7F"/>
      <w:lang w:val="en-GB"/>
    </w:rPr>
  </w:style>
  <w:style w:type="character" w:customStyle="1" w:styleId="Heading8Char">
    <w:name w:val="Heading 8 Char"/>
    <w:basedOn w:val="DefaultParagraphFont"/>
    <w:link w:val="Heading8"/>
    <w:uiPriority w:val="9"/>
    <w:semiHidden/>
    <w:rsid w:val="00A06F5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A06F5E"/>
    <w:rPr>
      <w:rFonts w:asciiTheme="majorHAnsi" w:eastAsiaTheme="majorEastAsia" w:hAnsiTheme="majorHAnsi" w:cstheme="majorBidi"/>
      <w:i/>
      <w:iCs/>
      <w:color w:val="272727" w:themeColor="text1" w:themeTint="D8"/>
      <w:sz w:val="21"/>
      <w:szCs w:val="21"/>
      <w:lang w:val="en-GB"/>
    </w:rPr>
  </w:style>
  <w:style w:type="paragraph" w:customStyle="1" w:styleId="ETSHEADER2">
    <w:name w:val="ETS_HEADER_2"/>
    <w:basedOn w:val="Heading2"/>
    <w:next w:val="Normal"/>
    <w:link w:val="ETSHEADER2CharChar"/>
    <w:autoRedefine/>
    <w:qFormat/>
    <w:rsid w:val="00A06F5E"/>
    <w:pPr>
      <w:keepLines w:val="0"/>
      <w:spacing w:before="240" w:after="60" w:line="240" w:lineRule="auto"/>
      <w:ind w:left="1276" w:hanging="1276"/>
    </w:pPr>
    <w:rPr>
      <w:rFonts w:ascii="Arial" w:eastAsia="Times New Roman" w:hAnsi="Arial" w:cs="Arial"/>
      <w:bCs/>
      <w:i/>
      <w:iCs/>
      <w:color w:val="auto"/>
      <w:sz w:val="32"/>
      <w:szCs w:val="32"/>
    </w:rPr>
  </w:style>
  <w:style w:type="character" w:customStyle="1" w:styleId="ETSHEADER2CharChar">
    <w:name w:val="ETS_HEADER_2 Char Char"/>
    <w:link w:val="ETSHEADER2"/>
    <w:rsid w:val="00A06F5E"/>
    <w:rPr>
      <w:rFonts w:ascii="Arial" w:eastAsia="Times New Roman" w:hAnsi="Arial" w:cs="Arial"/>
      <w:bCs/>
      <w:i/>
      <w:iCs/>
      <w:sz w:val="32"/>
      <w:szCs w:val="32"/>
      <w:lang w:val="en-GB"/>
    </w:rPr>
  </w:style>
  <w:style w:type="paragraph" w:customStyle="1" w:styleId="ETSNORMAL10pt">
    <w:name w:val="ETS_NORMAL_10pt"/>
    <w:basedOn w:val="Normal"/>
    <w:link w:val="ETSNORMAL10ptChar"/>
    <w:qFormat/>
    <w:rsid w:val="00A06F5E"/>
    <w:pPr>
      <w:spacing w:after="0" w:line="240" w:lineRule="auto"/>
      <w:ind w:left="-993"/>
    </w:pPr>
    <w:rPr>
      <w:rFonts w:ascii="Arial" w:eastAsia="Times New Roman" w:hAnsi="Arial" w:cs="Times New Roman"/>
      <w:sz w:val="20"/>
      <w:szCs w:val="24"/>
    </w:rPr>
  </w:style>
  <w:style w:type="character" w:customStyle="1" w:styleId="ETSNORMAL10ptChar">
    <w:name w:val="ETS_NORMAL_10pt Char"/>
    <w:link w:val="ETSNORMAL10pt"/>
    <w:rsid w:val="00A06F5E"/>
    <w:rPr>
      <w:rFonts w:ascii="Arial" w:eastAsia="Times New Roman" w:hAnsi="Arial" w:cs="Times New Roman"/>
      <w:sz w:val="20"/>
      <w:szCs w:val="24"/>
    </w:rPr>
  </w:style>
  <w:style w:type="paragraph" w:customStyle="1" w:styleId="ETSNORMAL12pt">
    <w:name w:val="ETS_NORMAL_12pt"/>
    <w:basedOn w:val="Normal"/>
    <w:link w:val="ETSNORMAL12ptCharChar"/>
    <w:qFormat/>
    <w:rsid w:val="00A06F5E"/>
    <w:pPr>
      <w:shd w:val="clear" w:color="auto" w:fill="FFFFFF"/>
      <w:spacing w:after="0" w:line="240" w:lineRule="auto"/>
      <w:ind w:left="-567"/>
      <w:jc w:val="both"/>
    </w:pPr>
    <w:rPr>
      <w:rFonts w:ascii="Arial" w:eastAsia="Times New Roman" w:hAnsi="Arial" w:cs="Times New Roman"/>
      <w:snapToGrid w:val="0"/>
      <w:sz w:val="24"/>
      <w:szCs w:val="24"/>
      <w:lang w:val="en-GB"/>
    </w:rPr>
  </w:style>
  <w:style w:type="character" w:customStyle="1" w:styleId="ETSNORMAL12ptCharChar">
    <w:name w:val="ETS_NORMAL_12pt Char Char"/>
    <w:link w:val="ETSNORMAL12pt"/>
    <w:rsid w:val="00A06F5E"/>
    <w:rPr>
      <w:rFonts w:ascii="Arial" w:eastAsia="Times New Roman" w:hAnsi="Arial" w:cs="Times New Roman"/>
      <w:snapToGrid w:val="0"/>
      <w:sz w:val="24"/>
      <w:szCs w:val="24"/>
      <w:shd w:val="clear" w:color="auto" w:fill="FFFFFF"/>
      <w:lang w:val="en-GB"/>
    </w:rPr>
  </w:style>
  <w:style w:type="paragraph" w:customStyle="1" w:styleId="ETSNORMAL8pt">
    <w:name w:val="ETS_NORMAL_8pt"/>
    <w:basedOn w:val="Normal"/>
    <w:qFormat/>
    <w:rsid w:val="00A06F5E"/>
    <w:pPr>
      <w:spacing w:after="0" w:line="240" w:lineRule="auto"/>
    </w:pPr>
    <w:rPr>
      <w:rFonts w:ascii="Arial" w:eastAsia="Times New Roman" w:hAnsi="Arial" w:cs="Times New Roman"/>
      <w:sz w:val="16"/>
      <w:szCs w:val="24"/>
      <w:lang w:val="en-GB"/>
    </w:rPr>
  </w:style>
  <w:style w:type="paragraph" w:styleId="TOCHeading">
    <w:name w:val="TOC Heading"/>
    <w:basedOn w:val="Heading1"/>
    <w:next w:val="Normal"/>
    <w:uiPriority w:val="39"/>
    <w:unhideWhenUsed/>
    <w:qFormat/>
    <w:rsid w:val="00A06F5E"/>
    <w:pPr>
      <w:numPr>
        <w:numId w:val="0"/>
      </w:numPr>
      <w:outlineLvl w:val="9"/>
    </w:pPr>
    <w:rPr>
      <w:lang w:val="en-US"/>
    </w:rPr>
  </w:style>
  <w:style w:type="paragraph" w:styleId="TOC1">
    <w:name w:val="toc 1"/>
    <w:basedOn w:val="Normal"/>
    <w:next w:val="Normal"/>
    <w:autoRedefine/>
    <w:uiPriority w:val="39"/>
    <w:unhideWhenUsed/>
    <w:rsid w:val="00A06F5E"/>
    <w:pPr>
      <w:tabs>
        <w:tab w:val="left" w:pos="440"/>
        <w:tab w:val="right" w:leader="dot" w:pos="9016"/>
      </w:tabs>
      <w:spacing w:after="100" w:line="259" w:lineRule="auto"/>
    </w:pPr>
    <w:rPr>
      <w:lang w:val="en-GB"/>
    </w:rPr>
  </w:style>
  <w:style w:type="paragraph" w:styleId="TOC2">
    <w:name w:val="toc 2"/>
    <w:basedOn w:val="Normal"/>
    <w:next w:val="Normal"/>
    <w:autoRedefine/>
    <w:uiPriority w:val="39"/>
    <w:unhideWhenUsed/>
    <w:rsid w:val="00A06F5E"/>
    <w:pPr>
      <w:tabs>
        <w:tab w:val="left" w:pos="880"/>
        <w:tab w:val="right" w:leader="dot" w:pos="9016"/>
      </w:tabs>
      <w:spacing w:after="100" w:line="259" w:lineRule="auto"/>
      <w:ind w:left="220"/>
    </w:pPr>
    <w:rPr>
      <w:lang w:val="en-GB"/>
    </w:rPr>
  </w:style>
  <w:style w:type="character" w:styleId="Hyperlink">
    <w:name w:val="Hyperlink"/>
    <w:basedOn w:val="DefaultParagraphFont"/>
    <w:uiPriority w:val="99"/>
    <w:unhideWhenUsed/>
    <w:rsid w:val="00A06F5E"/>
    <w:rPr>
      <w:color w:val="0000FF" w:themeColor="hyperlink"/>
      <w:u w:val="single"/>
    </w:rPr>
  </w:style>
  <w:style w:type="paragraph" w:styleId="TOC3">
    <w:name w:val="toc 3"/>
    <w:basedOn w:val="Normal"/>
    <w:next w:val="Normal"/>
    <w:autoRedefine/>
    <w:uiPriority w:val="39"/>
    <w:unhideWhenUsed/>
    <w:rsid w:val="00A06F5E"/>
    <w:pPr>
      <w:tabs>
        <w:tab w:val="left" w:pos="1320"/>
        <w:tab w:val="right" w:leader="dot" w:pos="9016"/>
      </w:tabs>
      <w:spacing w:after="100" w:line="259" w:lineRule="auto"/>
      <w:ind w:left="440"/>
    </w:pPr>
    <w:rPr>
      <w:lang w:val="en-GB"/>
    </w:rPr>
  </w:style>
  <w:style w:type="table" w:customStyle="1" w:styleId="GridTable4-Accent31">
    <w:name w:val="Grid Table 4 - Accent 31"/>
    <w:basedOn w:val="TableNormal"/>
    <w:uiPriority w:val="49"/>
    <w:rsid w:val="00A06F5E"/>
    <w:pPr>
      <w:spacing w:after="0" w:line="240" w:lineRule="auto"/>
    </w:pPr>
    <w:rPr>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1">
    <w:name w:val="Grid Table 41"/>
    <w:basedOn w:val="TableNormal"/>
    <w:uiPriority w:val="49"/>
    <w:rsid w:val="00A06F5E"/>
    <w:pPr>
      <w:spacing w:after="0" w:line="240" w:lineRule="auto"/>
    </w:pPr>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2">
    <w:name w:val="Grid Table 42"/>
    <w:basedOn w:val="TableNormal"/>
    <w:uiPriority w:val="49"/>
    <w:rsid w:val="00A06F5E"/>
    <w:pPr>
      <w:spacing w:after="0" w:line="240" w:lineRule="auto"/>
    </w:pPr>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06F5E"/>
    <w:rPr>
      <w:color w:val="800080" w:themeColor="followedHyperlink"/>
      <w:u w:val="single"/>
    </w:rPr>
  </w:style>
  <w:style w:type="table" w:customStyle="1" w:styleId="GridTable421">
    <w:name w:val="Grid Table 421"/>
    <w:basedOn w:val="TableNormal"/>
    <w:uiPriority w:val="49"/>
    <w:rsid w:val="00A06F5E"/>
    <w:pPr>
      <w:spacing w:after="0" w:line="240" w:lineRule="auto"/>
    </w:pPr>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A06F5E"/>
    <w:pPr>
      <w:spacing w:after="0" w:line="240" w:lineRule="auto"/>
    </w:pPr>
    <w:rPr>
      <w:lang w:val="en-GB"/>
    </w:rPr>
  </w:style>
  <w:style w:type="table" w:styleId="GridTable5Dark-Accent3">
    <w:name w:val="Grid Table 5 Dark Accent 3"/>
    <w:basedOn w:val="TableNormal"/>
    <w:uiPriority w:val="50"/>
    <w:rsid w:val="00A06F5E"/>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PlaceholderText">
    <w:name w:val="Placeholder Text"/>
    <w:basedOn w:val="DefaultParagraphFont"/>
    <w:uiPriority w:val="99"/>
    <w:semiHidden/>
    <w:rsid w:val="00A06F5E"/>
    <w:rPr>
      <w:color w:val="808080"/>
    </w:rPr>
  </w:style>
  <w:style w:type="table" w:customStyle="1" w:styleId="GridTable5Dark-Accent31">
    <w:name w:val="Grid Table 5 Dark - Accent 31"/>
    <w:basedOn w:val="TableNormal"/>
    <w:uiPriority w:val="50"/>
    <w:rsid w:val="00A06F5E"/>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EndnoteText">
    <w:name w:val="endnote text"/>
    <w:basedOn w:val="Normal"/>
    <w:link w:val="EndnoteTextChar"/>
    <w:uiPriority w:val="99"/>
    <w:semiHidden/>
    <w:unhideWhenUsed/>
    <w:rsid w:val="00A06F5E"/>
    <w:pPr>
      <w:spacing w:after="0" w:line="240" w:lineRule="auto"/>
    </w:pPr>
    <w:rPr>
      <w:sz w:val="20"/>
      <w:szCs w:val="20"/>
      <w:lang w:val="en-GB"/>
    </w:rPr>
  </w:style>
  <w:style w:type="character" w:customStyle="1" w:styleId="EndnoteTextChar">
    <w:name w:val="Endnote Text Char"/>
    <w:basedOn w:val="DefaultParagraphFont"/>
    <w:link w:val="EndnoteText"/>
    <w:uiPriority w:val="99"/>
    <w:semiHidden/>
    <w:rsid w:val="00A06F5E"/>
    <w:rPr>
      <w:rFonts w:eastAsiaTheme="minorEastAsia"/>
      <w:sz w:val="20"/>
      <w:szCs w:val="20"/>
      <w:lang w:val="en-GB"/>
    </w:rPr>
  </w:style>
  <w:style w:type="character" w:styleId="EndnoteReference">
    <w:name w:val="endnote reference"/>
    <w:basedOn w:val="DefaultParagraphFont"/>
    <w:uiPriority w:val="99"/>
    <w:semiHidden/>
    <w:unhideWhenUsed/>
    <w:rsid w:val="00A06F5E"/>
    <w:rPr>
      <w:vertAlign w:val="superscript"/>
    </w:rPr>
  </w:style>
  <w:style w:type="table" w:styleId="GridTable5Dark-Accent5">
    <w:name w:val="Grid Table 5 Dark Accent 5"/>
    <w:basedOn w:val="TableNormal"/>
    <w:uiPriority w:val="50"/>
    <w:rsid w:val="00A06F5E"/>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Mention1">
    <w:name w:val="Mention1"/>
    <w:basedOn w:val="DefaultParagraphFont"/>
    <w:uiPriority w:val="99"/>
    <w:semiHidden/>
    <w:unhideWhenUsed/>
    <w:rsid w:val="00A06F5E"/>
    <w:rPr>
      <w:color w:val="2B579A"/>
      <w:shd w:val="clear" w:color="auto" w:fill="E6E6E6"/>
    </w:rPr>
  </w:style>
  <w:style w:type="character" w:customStyle="1" w:styleId="UnresolvedMention1">
    <w:name w:val="Unresolved Mention1"/>
    <w:basedOn w:val="DefaultParagraphFont"/>
    <w:uiPriority w:val="99"/>
    <w:semiHidden/>
    <w:unhideWhenUsed/>
    <w:rsid w:val="00A06F5E"/>
    <w:rPr>
      <w:color w:val="808080"/>
      <w:shd w:val="clear" w:color="auto" w:fill="E6E6E6"/>
    </w:rPr>
  </w:style>
  <w:style w:type="paragraph" w:styleId="NormalWeb">
    <w:name w:val="Normal (Web)"/>
    <w:basedOn w:val="Normal"/>
    <w:uiPriority w:val="99"/>
    <w:unhideWhenUsed/>
    <w:rsid w:val="00A06F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A06F5E"/>
  </w:style>
  <w:style w:type="table" w:styleId="GridTable4-Accent1">
    <w:name w:val="Grid Table 4 Accent 1"/>
    <w:basedOn w:val="TableNormal"/>
    <w:uiPriority w:val="49"/>
    <w:rsid w:val="00A06F5E"/>
    <w:pPr>
      <w:spacing w:after="0" w:line="240" w:lineRule="auto"/>
    </w:pPr>
    <w:rPr>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Spacing">
    <w:name w:val="No Spacing"/>
    <w:uiPriority w:val="1"/>
    <w:qFormat/>
    <w:rsid w:val="00A06F5E"/>
    <w:pPr>
      <w:spacing w:after="0" w:line="240" w:lineRule="auto"/>
    </w:pPr>
  </w:style>
  <w:style w:type="table" w:styleId="GridTable1Light-Accent5">
    <w:name w:val="Grid Table 1 Light Accent 5"/>
    <w:basedOn w:val="TableNormal"/>
    <w:uiPriority w:val="46"/>
    <w:rsid w:val="00A06F5E"/>
    <w:pPr>
      <w:spacing w:after="0" w:line="240" w:lineRule="auto"/>
    </w:pPr>
    <w:rPr>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A06F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IntenseReference">
    <w:name w:val="Intense Reference"/>
    <w:basedOn w:val="DefaultParagraphFont"/>
    <w:uiPriority w:val="32"/>
    <w:qFormat/>
    <w:rsid w:val="00A06F5E"/>
    <w:rPr>
      <w:b/>
      <w:bCs/>
      <w:smallCaps/>
      <w:color w:val="4F81BD" w:themeColor="accent1"/>
      <w:spacing w:val="5"/>
    </w:rPr>
  </w:style>
  <w:style w:type="paragraph" w:customStyle="1" w:styleId="xmsonormal">
    <w:name w:val="x_msonormal"/>
    <w:basedOn w:val="Normal"/>
    <w:rsid w:val="00A06F5E"/>
    <w:pPr>
      <w:spacing w:after="0" w:line="240" w:lineRule="auto"/>
    </w:pPr>
    <w:rPr>
      <w:rFonts w:ascii="Calibri" w:hAnsi="Calibri" w:cs="Calibri"/>
      <w:lang w:val="en-GB" w:eastAsia="en-GB"/>
    </w:rPr>
  </w:style>
  <w:style w:type="character" w:customStyle="1" w:styleId="eop">
    <w:name w:val="eop"/>
    <w:basedOn w:val="DefaultParagraphFont"/>
    <w:rsid w:val="00A06F5E"/>
  </w:style>
  <w:style w:type="character" w:customStyle="1" w:styleId="spellingerror">
    <w:name w:val="spellingerror"/>
    <w:basedOn w:val="DefaultParagraphFont"/>
    <w:rsid w:val="00A06F5E"/>
  </w:style>
  <w:style w:type="character" w:customStyle="1" w:styleId="scxw45084214">
    <w:name w:val="scxw45084214"/>
    <w:basedOn w:val="DefaultParagraphFont"/>
    <w:rsid w:val="00A06F5E"/>
  </w:style>
  <w:style w:type="character" w:customStyle="1" w:styleId="scxw124562383">
    <w:name w:val="scxw124562383"/>
    <w:basedOn w:val="DefaultParagraphFont"/>
    <w:rsid w:val="00A06F5E"/>
  </w:style>
  <w:style w:type="character" w:customStyle="1" w:styleId="scxw231787790">
    <w:name w:val="scxw231787790"/>
    <w:basedOn w:val="DefaultParagraphFont"/>
    <w:rsid w:val="00A06F5E"/>
  </w:style>
  <w:style w:type="character" w:customStyle="1" w:styleId="scxw59810726">
    <w:name w:val="scxw59810726"/>
    <w:basedOn w:val="DefaultParagraphFont"/>
    <w:rsid w:val="00A06F5E"/>
  </w:style>
  <w:style w:type="table" w:styleId="GridTable6Colorful-Accent1">
    <w:name w:val="Grid Table 6 Colorful Accent 1"/>
    <w:basedOn w:val="TableNormal"/>
    <w:uiPriority w:val="51"/>
    <w:rsid w:val="00A06F5E"/>
    <w:pPr>
      <w:spacing w:after="0" w:line="240" w:lineRule="auto"/>
    </w:pPr>
    <w:rPr>
      <w:color w:val="365F91" w:themeColor="accent1" w:themeShade="BF"/>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A06F5E"/>
    <w:pPr>
      <w:spacing w:after="0" w:line="240" w:lineRule="auto"/>
    </w:pPr>
    <w:rPr>
      <w:color w:val="31849B" w:themeColor="accent5" w:themeShade="BF"/>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A06F5E"/>
    <w:pPr>
      <w:spacing w:after="0" w:line="240" w:lineRule="auto"/>
    </w:pPr>
    <w:rPr>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2">
    <w:name w:val="Unresolved Mention2"/>
    <w:basedOn w:val="DefaultParagraphFont"/>
    <w:uiPriority w:val="99"/>
    <w:unhideWhenUsed/>
    <w:rsid w:val="00A06F5E"/>
    <w:rPr>
      <w:color w:val="605E5C"/>
      <w:shd w:val="clear" w:color="auto" w:fill="E1DFDD"/>
    </w:rPr>
  </w:style>
  <w:style w:type="paragraph" w:styleId="Caption">
    <w:name w:val="caption"/>
    <w:basedOn w:val="Normal"/>
    <w:next w:val="Normal"/>
    <w:uiPriority w:val="35"/>
    <w:unhideWhenUsed/>
    <w:qFormat/>
    <w:rsid w:val="00A06F5E"/>
    <w:pPr>
      <w:spacing w:line="240" w:lineRule="auto"/>
    </w:pPr>
    <w:rPr>
      <w:i/>
      <w:iCs/>
      <w:color w:val="1F497D" w:themeColor="text2"/>
      <w:sz w:val="18"/>
      <w:szCs w:val="18"/>
      <w:lang w:val="en-GB"/>
    </w:rPr>
  </w:style>
  <w:style w:type="character" w:styleId="Strong">
    <w:name w:val="Strong"/>
    <w:basedOn w:val="DefaultParagraphFont"/>
    <w:uiPriority w:val="22"/>
    <w:qFormat/>
    <w:rsid w:val="00A06F5E"/>
    <w:rPr>
      <w:b/>
      <w:bCs/>
    </w:rPr>
  </w:style>
  <w:style w:type="character" w:customStyle="1" w:styleId="hgkelc">
    <w:name w:val="hgkelc"/>
    <w:basedOn w:val="DefaultParagraphFont"/>
    <w:rsid w:val="00A06F5E"/>
  </w:style>
  <w:style w:type="character" w:customStyle="1" w:styleId="acopre">
    <w:name w:val="acopre"/>
    <w:basedOn w:val="DefaultParagraphFont"/>
    <w:rsid w:val="00A06F5E"/>
  </w:style>
  <w:style w:type="paragraph" w:customStyle="1" w:styleId="TableText">
    <w:name w:val="Table Text"/>
    <w:basedOn w:val="Normal"/>
    <w:link w:val="TableTextChar"/>
    <w:qFormat/>
    <w:rsid w:val="00A06F5E"/>
    <w:pPr>
      <w:keepNext/>
      <w:keepLines/>
      <w:spacing w:before="60" w:after="0" w:line="240" w:lineRule="auto"/>
    </w:pPr>
    <w:rPr>
      <w:bCs/>
      <w:sz w:val="18"/>
      <w:szCs w:val="21"/>
      <w:lang w:eastAsia="ja-JP"/>
    </w:rPr>
  </w:style>
  <w:style w:type="character" w:customStyle="1" w:styleId="TableTextChar">
    <w:name w:val="Table Text Char"/>
    <w:basedOn w:val="DefaultParagraphFont"/>
    <w:link w:val="TableText"/>
    <w:rsid w:val="00A06F5E"/>
    <w:rPr>
      <w:rFonts w:eastAsiaTheme="minorEastAsia"/>
      <w:bCs/>
      <w:sz w:val="18"/>
      <w:szCs w:val="21"/>
      <w:lang w:eastAsia="ja-JP"/>
    </w:rPr>
  </w:style>
  <w:style w:type="character" w:customStyle="1" w:styleId="Mention2">
    <w:name w:val="Mention2"/>
    <w:basedOn w:val="DefaultParagraphFont"/>
    <w:uiPriority w:val="99"/>
    <w:unhideWhenUsed/>
    <w:rsid w:val="00A06F5E"/>
    <w:rPr>
      <w:color w:val="2B579A"/>
      <w:shd w:val="clear" w:color="auto" w:fill="E1DFDD"/>
    </w:rPr>
  </w:style>
  <w:style w:type="character" w:customStyle="1" w:styleId="UnresolvedMention3">
    <w:name w:val="Unresolved Mention3"/>
    <w:basedOn w:val="DefaultParagraphFont"/>
    <w:uiPriority w:val="99"/>
    <w:unhideWhenUsed/>
    <w:rsid w:val="00F73E49"/>
    <w:rPr>
      <w:color w:val="605E5C"/>
      <w:shd w:val="clear" w:color="auto" w:fill="E1DFDD"/>
    </w:rPr>
  </w:style>
  <w:style w:type="character" w:customStyle="1" w:styleId="Mention3">
    <w:name w:val="Mention3"/>
    <w:basedOn w:val="DefaultParagraphFont"/>
    <w:uiPriority w:val="99"/>
    <w:unhideWhenUsed/>
    <w:rsid w:val="00F73E49"/>
    <w:rPr>
      <w:color w:val="2B579A"/>
      <w:shd w:val="clear" w:color="auto" w:fill="E1DFDD"/>
    </w:rPr>
  </w:style>
  <w:style w:type="character" w:styleId="UnresolvedMention">
    <w:name w:val="Unresolved Mention"/>
    <w:basedOn w:val="DefaultParagraphFont"/>
    <w:uiPriority w:val="99"/>
    <w:unhideWhenUsed/>
    <w:rsid w:val="00BF066A"/>
    <w:rPr>
      <w:color w:val="605E5C"/>
      <w:shd w:val="clear" w:color="auto" w:fill="E1DFDD"/>
    </w:rPr>
  </w:style>
  <w:style w:type="character" w:styleId="Mention">
    <w:name w:val="Mention"/>
    <w:basedOn w:val="DefaultParagraphFont"/>
    <w:uiPriority w:val="99"/>
    <w:unhideWhenUsed/>
    <w:rsid w:val="00DC577B"/>
    <w:rPr>
      <w:color w:val="2B579A"/>
      <w:shd w:val="clear" w:color="auto" w:fill="E1DFDD"/>
    </w:rPr>
  </w:style>
  <w:style w:type="paragraph" w:customStyle="1" w:styleId="StandardL1">
    <w:name w:val="Standard_L1"/>
    <w:basedOn w:val="Normal"/>
    <w:next w:val="StandardL2"/>
    <w:uiPriority w:val="49"/>
    <w:qFormat/>
    <w:rsid w:val="00DC577B"/>
    <w:pPr>
      <w:keepNext/>
      <w:numPr>
        <w:numId w:val="7"/>
      </w:numPr>
      <w:spacing w:after="240" w:line="240" w:lineRule="auto"/>
      <w:jc w:val="both"/>
      <w:outlineLvl w:val="0"/>
    </w:pPr>
    <w:rPr>
      <w:rFonts w:ascii="Arial" w:eastAsia="Times New Roman" w:hAnsi="Arial" w:cs="Arial"/>
      <w:b/>
      <w:sz w:val="24"/>
      <w:szCs w:val="20"/>
      <w:lang w:eastAsia="en-CA"/>
    </w:rPr>
  </w:style>
  <w:style w:type="paragraph" w:customStyle="1" w:styleId="StandardL2">
    <w:name w:val="Standard_L2"/>
    <w:basedOn w:val="Normal"/>
    <w:uiPriority w:val="49"/>
    <w:qFormat/>
    <w:rsid w:val="00DC577B"/>
    <w:pPr>
      <w:numPr>
        <w:ilvl w:val="1"/>
        <w:numId w:val="7"/>
      </w:numPr>
      <w:spacing w:after="240" w:line="240" w:lineRule="auto"/>
      <w:jc w:val="both"/>
      <w:outlineLvl w:val="1"/>
    </w:pPr>
    <w:rPr>
      <w:rFonts w:ascii="Arial" w:eastAsia="Times New Roman" w:hAnsi="Arial" w:cs="Arial"/>
      <w:sz w:val="20"/>
      <w:szCs w:val="20"/>
      <w:lang w:eastAsia="en-CA"/>
    </w:rPr>
  </w:style>
  <w:style w:type="paragraph" w:customStyle="1" w:styleId="StandardL3">
    <w:name w:val="Standard_L3"/>
    <w:basedOn w:val="Normal"/>
    <w:uiPriority w:val="49"/>
    <w:qFormat/>
    <w:rsid w:val="00DC577B"/>
    <w:pPr>
      <w:numPr>
        <w:ilvl w:val="2"/>
        <w:numId w:val="7"/>
      </w:numPr>
      <w:tabs>
        <w:tab w:val="clear" w:pos="5398"/>
        <w:tab w:val="num" w:pos="1134"/>
      </w:tabs>
      <w:spacing w:after="240" w:line="240" w:lineRule="auto"/>
      <w:jc w:val="both"/>
      <w:outlineLvl w:val="2"/>
    </w:pPr>
    <w:rPr>
      <w:rFonts w:ascii="Arial" w:eastAsia="Times New Roman" w:hAnsi="Arial" w:cs="Arial"/>
      <w:sz w:val="20"/>
      <w:szCs w:val="20"/>
      <w:lang w:eastAsia="en-CA"/>
    </w:rPr>
  </w:style>
  <w:style w:type="paragraph" w:customStyle="1" w:styleId="StandardL4">
    <w:name w:val="Standard_L4"/>
    <w:basedOn w:val="Normal"/>
    <w:uiPriority w:val="49"/>
    <w:qFormat/>
    <w:rsid w:val="00DC577B"/>
    <w:pPr>
      <w:numPr>
        <w:ilvl w:val="3"/>
        <w:numId w:val="7"/>
      </w:numPr>
      <w:spacing w:after="240" w:line="240" w:lineRule="auto"/>
      <w:jc w:val="both"/>
      <w:outlineLvl w:val="3"/>
    </w:pPr>
    <w:rPr>
      <w:rFonts w:ascii="Arial" w:eastAsia="Times New Roman" w:hAnsi="Arial" w:cs="Arial"/>
      <w:sz w:val="20"/>
      <w:szCs w:val="20"/>
      <w:lang w:eastAsia="en-CA"/>
    </w:rPr>
  </w:style>
  <w:style w:type="paragraph" w:customStyle="1" w:styleId="StandardL5">
    <w:name w:val="Standard_L5"/>
    <w:basedOn w:val="Normal"/>
    <w:uiPriority w:val="49"/>
    <w:qFormat/>
    <w:rsid w:val="00DC577B"/>
    <w:pPr>
      <w:numPr>
        <w:ilvl w:val="4"/>
        <w:numId w:val="7"/>
      </w:numPr>
      <w:spacing w:after="240" w:line="240" w:lineRule="auto"/>
      <w:jc w:val="both"/>
      <w:outlineLvl w:val="4"/>
    </w:pPr>
    <w:rPr>
      <w:rFonts w:ascii="Arial" w:eastAsia="Times New Roman" w:hAnsi="Arial" w:cs="Arial"/>
      <w:sz w:val="20"/>
      <w:szCs w:val="20"/>
      <w:lang w:eastAsia="en-CA"/>
    </w:rPr>
  </w:style>
  <w:style w:type="paragraph" w:customStyle="1" w:styleId="StandardL6">
    <w:name w:val="Standard_L6"/>
    <w:basedOn w:val="Normal"/>
    <w:uiPriority w:val="49"/>
    <w:qFormat/>
    <w:rsid w:val="00DC577B"/>
    <w:pPr>
      <w:numPr>
        <w:ilvl w:val="5"/>
        <w:numId w:val="7"/>
      </w:numPr>
      <w:spacing w:after="240" w:line="240" w:lineRule="auto"/>
      <w:jc w:val="both"/>
      <w:outlineLvl w:val="5"/>
    </w:pPr>
    <w:rPr>
      <w:rFonts w:ascii="Arial" w:eastAsia="Times New Roman" w:hAnsi="Arial" w:cs="Arial"/>
      <w:sz w:val="20"/>
      <w:szCs w:val="20"/>
      <w:lang w:eastAsia="en-CA"/>
    </w:rPr>
  </w:style>
  <w:style w:type="paragraph" w:customStyle="1" w:styleId="StandardL7">
    <w:name w:val="Standard_L7"/>
    <w:basedOn w:val="Normal"/>
    <w:uiPriority w:val="49"/>
    <w:qFormat/>
    <w:rsid w:val="00DC577B"/>
    <w:pPr>
      <w:numPr>
        <w:ilvl w:val="6"/>
        <w:numId w:val="7"/>
      </w:numPr>
      <w:spacing w:after="240" w:line="240" w:lineRule="auto"/>
      <w:jc w:val="both"/>
      <w:outlineLvl w:val="6"/>
    </w:pPr>
    <w:rPr>
      <w:rFonts w:ascii="Arial" w:eastAsia="Times New Roman" w:hAnsi="Arial" w:cs="Arial"/>
      <w:sz w:val="20"/>
      <w:szCs w:val="20"/>
      <w:lang w:eastAsia="en-CA"/>
    </w:rPr>
  </w:style>
  <w:style w:type="paragraph" w:customStyle="1" w:styleId="StandardL8">
    <w:name w:val="Standard_L8"/>
    <w:basedOn w:val="Normal"/>
    <w:uiPriority w:val="49"/>
    <w:qFormat/>
    <w:rsid w:val="00DC577B"/>
    <w:pPr>
      <w:numPr>
        <w:ilvl w:val="7"/>
        <w:numId w:val="7"/>
      </w:numPr>
      <w:spacing w:after="240" w:line="240" w:lineRule="auto"/>
      <w:jc w:val="both"/>
      <w:outlineLvl w:val="7"/>
    </w:pPr>
    <w:rPr>
      <w:rFonts w:ascii="Arial" w:eastAsia="Times New Roman" w:hAnsi="Arial" w:cs="Arial"/>
      <w:sz w:val="20"/>
      <w:szCs w:val="20"/>
      <w:lang w:eastAsia="en-CA"/>
    </w:rPr>
  </w:style>
  <w:style w:type="paragraph" w:customStyle="1" w:styleId="StandardL9">
    <w:name w:val="Standard_L9"/>
    <w:basedOn w:val="Normal"/>
    <w:uiPriority w:val="49"/>
    <w:qFormat/>
    <w:rsid w:val="00DC577B"/>
    <w:pPr>
      <w:numPr>
        <w:ilvl w:val="8"/>
        <w:numId w:val="7"/>
      </w:numPr>
      <w:spacing w:after="240" w:line="240" w:lineRule="auto"/>
      <w:jc w:val="both"/>
      <w:outlineLvl w:val="8"/>
    </w:pPr>
    <w:rPr>
      <w:rFonts w:ascii="Arial" w:eastAsia="Times New Roman" w:hAnsi="Arial" w:cs="Arial"/>
      <w:sz w:val="20"/>
      <w:szCs w:val="20"/>
      <w:lang w:eastAsia="en-CA"/>
    </w:rPr>
  </w:style>
  <w:style w:type="numbering" w:customStyle="1" w:styleId="StandardList">
    <w:name w:val="_Standard List"/>
    <w:basedOn w:val="NoList"/>
    <w:rsid w:val="00DC577B"/>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696522">
      <w:bodyDiv w:val="1"/>
      <w:marLeft w:val="0"/>
      <w:marRight w:val="0"/>
      <w:marTop w:val="0"/>
      <w:marBottom w:val="0"/>
      <w:divBdr>
        <w:top w:val="none" w:sz="0" w:space="0" w:color="auto"/>
        <w:left w:val="none" w:sz="0" w:space="0" w:color="auto"/>
        <w:bottom w:val="none" w:sz="0" w:space="0" w:color="auto"/>
        <w:right w:val="none" w:sz="0" w:space="0" w:color="auto"/>
      </w:divBdr>
    </w:div>
    <w:div w:id="1518428357">
      <w:bodyDiv w:val="1"/>
      <w:marLeft w:val="0"/>
      <w:marRight w:val="0"/>
      <w:marTop w:val="0"/>
      <w:marBottom w:val="0"/>
      <w:divBdr>
        <w:top w:val="none" w:sz="0" w:space="0" w:color="auto"/>
        <w:left w:val="none" w:sz="0" w:space="0" w:color="auto"/>
        <w:bottom w:val="none" w:sz="0" w:space="0" w:color="auto"/>
        <w:right w:val="none" w:sz="0" w:space="0" w:color="auto"/>
      </w:divBdr>
    </w:div>
    <w:div w:id="154836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nna-dsb.com/download/roc-dsb-notifications-protocol/" TargetMode="External"/><Relationship Id="rId18" Type="http://schemas.openxmlformats.org/officeDocument/2006/relationships/hyperlink" Target="https://www.iso.org/standard/77308.html" TargetMode="External"/><Relationship Id="rId26" Type="http://schemas.openxmlformats.org/officeDocument/2006/relationships/hyperlink" Target="https://www.anna-dsb.com/knowledge-centre/?wpdmc=tac-sc-minutes" TargetMode="External"/><Relationship Id="rId39" Type="http://schemas.openxmlformats.org/officeDocument/2006/relationships/hyperlink" Target="https://www.anna-dsb.com/download/dsb-connectivity-policy_v4_2021_final/" TargetMode="External"/><Relationship Id="rId21" Type="http://schemas.openxmlformats.org/officeDocument/2006/relationships/image" Target="media/image2.png"/><Relationship Id="rId34" Type="http://schemas.openxmlformats.org/officeDocument/2006/relationships/image" Target="media/image4.png"/><Relationship Id="rId42" Type="http://schemas.openxmlformats.org/officeDocument/2006/relationships/footer" Target="footer2.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otc.data@anna-dsb.com" TargetMode="External"/><Relationship Id="rId29" Type="http://schemas.openxmlformats.org/officeDocument/2006/relationships/hyperlink" Target="https://www.anna-dsb.com/upi/" TargetMode="External"/><Relationship Id="rId11" Type="http://schemas.openxmlformats.org/officeDocument/2006/relationships/hyperlink" Target="https://www.fsb.org/wp-content/uploads/P250920.pdf" TargetMode="External"/><Relationship Id="rId24" Type="http://schemas.openxmlformats.org/officeDocument/2006/relationships/hyperlink" Target="https://prod.anna-dsb.com/" TargetMode="External"/><Relationship Id="rId32" Type="http://schemas.openxmlformats.org/officeDocument/2006/relationships/hyperlink" Target="https://www.anna-dsb.com/optional-services/" TargetMode="External"/><Relationship Id="rId37" Type="http://schemas.openxmlformats.org/officeDocument/2006/relationships/hyperlink" Target="https://www.anna-dsb.com/download/dsb-user-policy_v5_2021_final/" TargetMode="External"/><Relationship Id="rId40" Type="http://schemas.openxmlformats.org/officeDocument/2006/relationships/hyperlink" Target="https://www.anna-dsb.com/upi-fee-model-consultation-2021/"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anna-dsb.com/subscribe-to-notifications/" TargetMode="External"/><Relationship Id="rId23" Type="http://schemas.openxmlformats.org/officeDocument/2006/relationships/hyperlink" Target="https://prod.anna-dsb.com/" TargetMode="External"/><Relationship Id="rId28" Type="http://schemas.openxmlformats.org/officeDocument/2006/relationships/hyperlink" Target="https://www.anna-dsb.com/upi-implementation-timeline/" TargetMode="External"/><Relationship Id="rId36" Type="http://schemas.openxmlformats.org/officeDocument/2006/relationships/hyperlink" Target="https://prod.anna-dsb.com/" TargetMode="External"/><Relationship Id="rId49" Type="http://schemas.openxmlformats.org/officeDocument/2006/relationships/customXml" Target="../customXml/item4.xml"/><Relationship Id="rId10" Type="http://schemas.openxmlformats.org/officeDocument/2006/relationships/hyperlink" Target="https://www.leiroc.org/publications/gls/roc_20201001-2.pdf" TargetMode="External"/><Relationship Id="rId19" Type="http://schemas.openxmlformats.org/officeDocument/2006/relationships/hyperlink" Target="https://www.iso20022.org/" TargetMode="External"/><Relationship Id="rId31" Type="http://schemas.openxmlformats.org/officeDocument/2006/relationships/hyperlink" Target="https://www.anna-dsb.com/download/dsb-upi-fee-model-final-repor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sb.org/wp-content/uploads/r_140919.pdf" TargetMode="External"/><Relationship Id="rId14" Type="http://schemas.openxmlformats.org/officeDocument/2006/relationships/hyperlink" Target="https://www.fsb.org/2019/10/governance-arrangements-for-the-upi/" TargetMode="External"/><Relationship Id="rId22" Type="http://schemas.openxmlformats.org/officeDocument/2006/relationships/image" Target="media/image3.png"/><Relationship Id="rId27" Type="http://schemas.openxmlformats.org/officeDocument/2006/relationships/hyperlink" Target="https://www.anna-dsb.com/upi-legal-terms-and-conditions-consultation/" TargetMode="External"/><Relationship Id="rId30" Type="http://schemas.openxmlformats.org/officeDocument/2006/relationships/hyperlink" Target="http://www.anna-web.org/dsb-product-committee/" TargetMode="External"/><Relationship Id="rId35" Type="http://schemas.openxmlformats.org/officeDocument/2006/relationships/image" Target="media/image5.png"/><Relationship Id="rId43" Type="http://schemas.openxmlformats.org/officeDocument/2006/relationships/hyperlink" Target="mailto:industry_consultation@anna-dsb.com" TargetMode="External"/><Relationship Id="rId48" Type="http://schemas.openxmlformats.org/officeDocument/2006/relationships/customXml" Target="../customXml/item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anna-dsb.com/download/roc-dsb-mou/" TargetMode="External"/><Relationship Id="rId17" Type="http://schemas.openxmlformats.org/officeDocument/2006/relationships/hyperlink" Target="https://www.iso.org/standard/80506.html" TargetMode="External"/><Relationship Id="rId25" Type="http://schemas.openxmlformats.org/officeDocument/2006/relationships/hyperlink" Target="https://prod.anna-dsb.com/" TargetMode="External"/><Relationship Id="rId33" Type="http://schemas.openxmlformats.org/officeDocument/2006/relationships/hyperlink" Target="mailto:otc.data@anna-dsb.com" TargetMode="External"/><Relationship Id="rId38" Type="http://schemas.openxmlformats.org/officeDocument/2006/relationships/hyperlink" Target="https://www.anna-dsb.com/download/dsb-service-level-policy_v5_2021_final/" TargetMode="External"/><Relationship Id="rId46" Type="http://schemas.openxmlformats.org/officeDocument/2006/relationships/theme" Target="theme/theme1.xml"/><Relationship Id="rId20" Type="http://schemas.openxmlformats.org/officeDocument/2006/relationships/hyperlink" Target="https://www.iso.org/standard/78829.htm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www.gleif.org/" TargetMode="External"/><Relationship Id="rId18" Type="http://schemas.openxmlformats.org/officeDocument/2006/relationships/hyperlink" Target="https://www.leiroc.org/publications/gls/roc_20201001-2.pdf" TargetMode="External"/><Relationship Id="rId26" Type="http://schemas.openxmlformats.org/officeDocument/2006/relationships/hyperlink" Target="https://www.anna-dsb.com/download/dsb-charges-policy_v5_2021_final/" TargetMode="External"/><Relationship Id="rId3" Type="http://schemas.openxmlformats.org/officeDocument/2006/relationships/hyperlink" Target="https://www.fsb.org/wp-content/uploads/P250920.pdf" TargetMode="External"/><Relationship Id="rId21" Type="http://schemas.openxmlformats.org/officeDocument/2006/relationships/hyperlink" Target="https://committee.iso.org/sites/tc68/home/news/content-left-area/news-and-updates/unique-product-identifier-upi-ba.html" TargetMode="External"/><Relationship Id="rId34" Type="http://schemas.openxmlformats.org/officeDocument/2006/relationships/hyperlink" Target="https://www.anna-dsb.com/fee-model-variables/" TargetMode="External"/><Relationship Id="rId7" Type="http://schemas.openxmlformats.org/officeDocument/2006/relationships/hyperlink" Target="https://www.anna-dsb.com/subscribe-to-notifications/" TargetMode="External"/><Relationship Id="rId12" Type="http://schemas.openxmlformats.org/officeDocument/2006/relationships/hyperlink" Target="https://www.iso.org/standard/78829.html" TargetMode="External"/><Relationship Id="rId17" Type="http://schemas.openxmlformats.org/officeDocument/2006/relationships/hyperlink" Target="https://www.fsb.org/2019/10/governance-arrangements-for-the-upi/" TargetMode="External"/><Relationship Id="rId25" Type="http://schemas.openxmlformats.org/officeDocument/2006/relationships/hyperlink" Target="https://www.fsb.org/2019/10/governance-arrangements-for-the-upi/" TargetMode="External"/><Relationship Id="rId33" Type="http://schemas.openxmlformats.org/officeDocument/2006/relationships/hyperlink" Target="https://www.anna-dsb.com/download/dsb-2022-ua-policies-final/" TargetMode="External"/><Relationship Id="rId2" Type="http://schemas.openxmlformats.org/officeDocument/2006/relationships/hyperlink" Target="https://www.leiroc.org/publications/gls/roc_20201001-2.pdf" TargetMode="External"/><Relationship Id="rId16" Type="http://schemas.openxmlformats.org/officeDocument/2006/relationships/hyperlink" Target="https://www.bis.org/cpmi/publ/d175.pdf" TargetMode="External"/><Relationship Id="rId20" Type="http://schemas.openxmlformats.org/officeDocument/2006/relationships/hyperlink" Target="https://www.leiroc.org/publications/gls/roc_20201001-1.pdf" TargetMode="External"/><Relationship Id="rId29" Type="http://schemas.openxmlformats.org/officeDocument/2006/relationships/hyperlink" Target="https://www.anna-dsb.com/upi-implementation-timeline/" TargetMode="External"/><Relationship Id="rId1" Type="http://schemas.openxmlformats.org/officeDocument/2006/relationships/hyperlink" Target="https://www.fsb.org/2019/05/fsb-designates-dsb-as-unique-product-identifier-upi-service-provider/" TargetMode="External"/><Relationship Id="rId6" Type="http://schemas.openxmlformats.org/officeDocument/2006/relationships/hyperlink" Target="https://www.anna-dsb.com/upi-fee-model-consultation-2021/" TargetMode="External"/><Relationship Id="rId11" Type="http://schemas.openxmlformats.org/officeDocument/2006/relationships/hyperlink" Target="https://www.iso20022.org/" TargetMode="External"/><Relationship Id="rId24" Type="http://schemas.openxmlformats.org/officeDocument/2006/relationships/hyperlink" Target="https://www.leiroc.org/about/membersandobservers/index.htm" TargetMode="External"/><Relationship Id="rId32" Type="http://schemas.openxmlformats.org/officeDocument/2006/relationships/hyperlink" Target="https://www.anna-dsb.com/optional-services/" TargetMode="External"/><Relationship Id="rId5" Type="http://schemas.openxmlformats.org/officeDocument/2006/relationships/hyperlink" Target="https://www.anna-dsb.com/download/roc-dsb-notifications-protocol/" TargetMode="External"/><Relationship Id="rId15" Type="http://schemas.openxmlformats.org/officeDocument/2006/relationships/hyperlink" Target="https://www.bis.org/cpmi/publ/d158.pdf" TargetMode="External"/><Relationship Id="rId23" Type="http://schemas.openxmlformats.org/officeDocument/2006/relationships/hyperlink" Target="https://www.anna-dsb.com/technology-advisory-committee/" TargetMode="External"/><Relationship Id="rId28" Type="http://schemas.openxmlformats.org/officeDocument/2006/relationships/hyperlink" Target="https://www.anna-dsb.com/download/2021-industry-consultation-paper/" TargetMode="External"/><Relationship Id="rId36" Type="http://schemas.openxmlformats.org/officeDocument/2006/relationships/hyperlink" Target="https://anna-dsb-events.webex.com/anna-dsb-events/onstage/g.php?MTID=e9f9f75c9ca5cc571460cd89d0e08c35b" TargetMode="External"/><Relationship Id="rId10" Type="http://schemas.openxmlformats.org/officeDocument/2006/relationships/hyperlink" Target="https://www.iso.org/standard/77308.html" TargetMode="External"/><Relationship Id="rId19" Type="http://schemas.openxmlformats.org/officeDocument/2006/relationships/hyperlink" Target="https://www.fsb.org/2020/09/lei-roc-to-become-governance-body-for-otc-derivatives-identifiers/" TargetMode="External"/><Relationship Id="rId31" Type="http://schemas.openxmlformats.org/officeDocument/2006/relationships/hyperlink" Target="https://www.anna-dsb.com/download/dsb-upi-fee-model-final-report/" TargetMode="External"/><Relationship Id="rId4" Type="http://schemas.openxmlformats.org/officeDocument/2006/relationships/hyperlink" Target="https://www.anna-dsb.com/download/roc-dsb-mou/" TargetMode="External"/><Relationship Id="rId9" Type="http://schemas.openxmlformats.org/officeDocument/2006/relationships/hyperlink" Target="https://www.iso.org/standard/80506.html" TargetMode="External"/><Relationship Id="rId14" Type="http://schemas.openxmlformats.org/officeDocument/2006/relationships/hyperlink" Target="http://www.bis.org/cpmi/publ/d169.htm" TargetMode="External"/><Relationship Id="rId22" Type="http://schemas.openxmlformats.org/officeDocument/2006/relationships/hyperlink" Target="https://www.anna-dsb.com/product-committee/" TargetMode="External"/><Relationship Id="rId27" Type="http://schemas.openxmlformats.org/officeDocument/2006/relationships/hyperlink" Target="https://www.anna-dsb.com/fees-rules-2021/" TargetMode="External"/><Relationship Id="rId30" Type="http://schemas.openxmlformats.org/officeDocument/2006/relationships/hyperlink" Target="https://www.anna-dsb.com/upi/" TargetMode="External"/><Relationship Id="rId35" Type="http://schemas.openxmlformats.org/officeDocument/2006/relationships/hyperlink" Target="https://anna-dsb-events.webex.com/webappng/sites/anna-dsb-events/meeting/register/ee87295c47214e4aa44eaf9ed8116fc8?ticket=4832534b000000052b84e39a0be43a15170e0d0cfcad535d9cc15f2842c8beccf027cff832d454d7&amp;timestamp=1635776647870&amp;locale=en_US" TargetMode="External"/><Relationship Id="rId8" Type="http://schemas.openxmlformats.org/officeDocument/2006/relationships/hyperlink" Target="https://www.anna-dsb.com/upi/"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9DCEE5A208B4CF681E93ADE54D75375"/>
        <w:category>
          <w:name w:val="General"/>
          <w:gallery w:val="placeholder"/>
        </w:category>
        <w:types>
          <w:type w:val="bbPlcHdr"/>
        </w:types>
        <w:behaviors>
          <w:behavior w:val="content"/>
        </w:behaviors>
        <w:guid w:val="{C45621B3-8220-4D48-AF61-A3B06B1D44CC}"/>
      </w:docPartPr>
      <w:docPartBody>
        <w:p w:rsidR="00CE7F0F" w:rsidRDefault="00C35E48" w:rsidP="00C35E48">
          <w:pPr>
            <w:pStyle w:val="D9DCEE5A208B4CF681E93ADE54D75375"/>
          </w:pPr>
          <w:r>
            <w:rPr>
              <w:rFonts w:eastAsiaTheme="minorHAnsi"/>
            </w:rPr>
            <w:t>Select Type</w:t>
          </w:r>
        </w:p>
      </w:docPartBody>
    </w:docPart>
    <w:docPart>
      <w:docPartPr>
        <w:name w:val="D22C200EB1F24502B25AEE7B8C6D29B5"/>
        <w:category>
          <w:name w:val="General"/>
          <w:gallery w:val="placeholder"/>
        </w:category>
        <w:types>
          <w:type w:val="bbPlcHdr"/>
        </w:types>
        <w:behaviors>
          <w:behavior w:val="content"/>
        </w:behaviors>
        <w:guid w:val="{EFEB88BA-1025-4C9B-81A8-4C647236E5B1}"/>
      </w:docPartPr>
      <w:docPartBody>
        <w:p w:rsidR="00CE7F0F" w:rsidRDefault="00C35E48" w:rsidP="00C35E48">
          <w:pPr>
            <w:pStyle w:val="D22C200EB1F24502B25AEE7B8C6D29B5"/>
          </w:pPr>
          <w:r>
            <w:rPr>
              <w:rFonts w:eastAsiaTheme="minorHAnsi"/>
            </w:rPr>
            <w:t>Select Type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E48"/>
    <w:rsid w:val="001E661B"/>
    <w:rsid w:val="00207AE1"/>
    <w:rsid w:val="003B2A51"/>
    <w:rsid w:val="007620F2"/>
    <w:rsid w:val="008611F9"/>
    <w:rsid w:val="008F21EF"/>
    <w:rsid w:val="00AD2809"/>
    <w:rsid w:val="00BF052A"/>
    <w:rsid w:val="00C35E48"/>
    <w:rsid w:val="00C70D02"/>
    <w:rsid w:val="00CE7F0F"/>
    <w:rsid w:val="00D27416"/>
    <w:rsid w:val="00DD6723"/>
    <w:rsid w:val="00E26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DCEE5A208B4CF681E93ADE54D75375">
    <w:name w:val="D9DCEE5A208B4CF681E93ADE54D75375"/>
    <w:rsid w:val="00C35E48"/>
  </w:style>
  <w:style w:type="paragraph" w:customStyle="1" w:styleId="D22C200EB1F24502B25AEE7B8C6D29B5">
    <w:name w:val="D22C200EB1F24502B25AEE7B8C6D29B5"/>
    <w:rsid w:val="00C35E48"/>
  </w:style>
  <w:style w:type="paragraph" w:customStyle="1" w:styleId="ED2CDE5A5C704DB38A5951F2E379C9F2">
    <w:name w:val="ED2CDE5A5C704DB38A5951F2E379C9F2"/>
    <w:rsid w:val="00207AE1"/>
  </w:style>
  <w:style w:type="paragraph" w:customStyle="1" w:styleId="CA4B9DBD16F243D892842826D5482A9A">
    <w:name w:val="CA4B9DBD16F243D892842826D5482A9A"/>
    <w:rsid w:val="00207A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94DD07BC474A342B1736545077809B2" ma:contentTypeVersion="12" ma:contentTypeDescription="Create a new document." ma:contentTypeScope="" ma:versionID="a54dc6527744bae7f3ada107f2758dc2">
  <xsd:schema xmlns:xsd="http://www.w3.org/2001/XMLSchema" xmlns:xs="http://www.w3.org/2001/XMLSchema" xmlns:p="http://schemas.microsoft.com/office/2006/metadata/properties" xmlns:ns2="59733063-40b5-4cc0-9055-2c0f0c39846a" xmlns:ns3="55b217b4-0474-40c2-9a3a-6135d1d470f1" targetNamespace="http://schemas.microsoft.com/office/2006/metadata/properties" ma:root="true" ma:fieldsID="5957634375f7e1b7fe7bdc11366145e5" ns2:_="" ns3:_="">
    <xsd:import namespace="59733063-40b5-4cc0-9055-2c0f0c39846a"/>
    <xsd:import namespace="55b217b4-0474-40c2-9a3a-6135d1d470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33063-40b5-4cc0-9055-2c0f0c3984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b217b4-0474-40c2-9a3a-6135d1d470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F71226-550D-486F-AA1B-8AE0B55EBB2F}">
  <ds:schemaRefs>
    <ds:schemaRef ds:uri="http://schemas.openxmlformats.org/officeDocument/2006/bibliography"/>
  </ds:schemaRefs>
</ds:datastoreItem>
</file>

<file path=customXml/itemProps2.xml><?xml version="1.0" encoding="utf-8"?>
<ds:datastoreItem xmlns:ds="http://schemas.openxmlformats.org/officeDocument/2006/customXml" ds:itemID="{B1075DBB-B747-4A0A-B595-6F4210324AD5}"/>
</file>

<file path=customXml/itemProps3.xml><?xml version="1.0" encoding="utf-8"?>
<ds:datastoreItem xmlns:ds="http://schemas.openxmlformats.org/officeDocument/2006/customXml" ds:itemID="{C99EA405-02B0-458D-8CB5-8F4E8FA38C5F}"/>
</file>

<file path=customXml/itemProps4.xml><?xml version="1.0" encoding="utf-8"?>
<ds:datastoreItem xmlns:ds="http://schemas.openxmlformats.org/officeDocument/2006/customXml" ds:itemID="{EB2EE54A-928A-41CC-8AA5-718430D95153}"/>
</file>

<file path=docProps/app.xml><?xml version="1.0" encoding="utf-8"?>
<Properties xmlns="http://schemas.openxmlformats.org/officeDocument/2006/extended-properties" xmlns:vt="http://schemas.openxmlformats.org/officeDocument/2006/docPropsVTypes">
  <Template>Normal</Template>
  <TotalTime>0</TotalTime>
  <Pages>67</Pages>
  <Words>18034</Words>
  <Characters>102799</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120592</CharactersWithSpaces>
  <SharedDoc>false</SharedDoc>
  <HLinks>
    <vt:vector size="540" baseType="variant">
      <vt:variant>
        <vt:i4>3604577</vt:i4>
      </vt:variant>
      <vt:variant>
        <vt:i4>303</vt:i4>
      </vt:variant>
      <vt:variant>
        <vt:i4>0</vt:i4>
      </vt:variant>
      <vt:variant>
        <vt:i4>5</vt:i4>
      </vt:variant>
      <vt:variant>
        <vt:lpwstr>mailto:industry_consultation@anna-dsb.com</vt:lpwstr>
      </vt:variant>
      <vt:variant>
        <vt:lpwstr/>
      </vt:variant>
      <vt:variant>
        <vt:i4>917595</vt:i4>
      </vt:variant>
      <vt:variant>
        <vt:i4>300</vt:i4>
      </vt:variant>
      <vt:variant>
        <vt:i4>0</vt:i4>
      </vt:variant>
      <vt:variant>
        <vt:i4>5</vt:i4>
      </vt:variant>
      <vt:variant>
        <vt:lpwstr>https://www.anna-dsb.com/upi-fee-model-consultation-2021/</vt:lpwstr>
      </vt:variant>
      <vt:variant>
        <vt:lpwstr/>
      </vt:variant>
      <vt:variant>
        <vt:i4>5701747</vt:i4>
      </vt:variant>
      <vt:variant>
        <vt:i4>297</vt:i4>
      </vt:variant>
      <vt:variant>
        <vt:i4>0</vt:i4>
      </vt:variant>
      <vt:variant>
        <vt:i4>5</vt:i4>
      </vt:variant>
      <vt:variant>
        <vt:lpwstr>https://www.anna-dsb.com/download/dsb-connectivity-policy_v4_2021_final/</vt:lpwstr>
      </vt:variant>
      <vt:variant>
        <vt:lpwstr/>
      </vt:variant>
      <vt:variant>
        <vt:i4>6488138</vt:i4>
      </vt:variant>
      <vt:variant>
        <vt:i4>294</vt:i4>
      </vt:variant>
      <vt:variant>
        <vt:i4>0</vt:i4>
      </vt:variant>
      <vt:variant>
        <vt:i4>5</vt:i4>
      </vt:variant>
      <vt:variant>
        <vt:lpwstr>https://www.anna-dsb.com/download/dsb-service-level-policy_v5_2021_final/</vt:lpwstr>
      </vt:variant>
      <vt:variant>
        <vt:lpwstr/>
      </vt:variant>
      <vt:variant>
        <vt:i4>4980861</vt:i4>
      </vt:variant>
      <vt:variant>
        <vt:i4>285</vt:i4>
      </vt:variant>
      <vt:variant>
        <vt:i4>0</vt:i4>
      </vt:variant>
      <vt:variant>
        <vt:i4>5</vt:i4>
      </vt:variant>
      <vt:variant>
        <vt:lpwstr>https://www.anna-dsb.com/download/dsb-user-policy_v5_2021_final/</vt:lpwstr>
      </vt:variant>
      <vt:variant>
        <vt:lpwstr/>
      </vt:variant>
      <vt:variant>
        <vt:i4>3670134</vt:i4>
      </vt:variant>
      <vt:variant>
        <vt:i4>279</vt:i4>
      </vt:variant>
      <vt:variant>
        <vt:i4>0</vt:i4>
      </vt:variant>
      <vt:variant>
        <vt:i4>5</vt:i4>
      </vt:variant>
      <vt:variant>
        <vt:lpwstr>https://prod.anna-dsb.com/</vt:lpwstr>
      </vt:variant>
      <vt:variant>
        <vt:lpwstr/>
      </vt:variant>
      <vt:variant>
        <vt:i4>3735552</vt:i4>
      </vt:variant>
      <vt:variant>
        <vt:i4>246</vt:i4>
      </vt:variant>
      <vt:variant>
        <vt:i4>0</vt:i4>
      </vt:variant>
      <vt:variant>
        <vt:i4>5</vt:i4>
      </vt:variant>
      <vt:variant>
        <vt:lpwstr>mailto:otc.data@anna-dsb.com</vt:lpwstr>
      </vt:variant>
      <vt:variant>
        <vt:lpwstr/>
      </vt:variant>
      <vt:variant>
        <vt:i4>7602281</vt:i4>
      </vt:variant>
      <vt:variant>
        <vt:i4>243</vt:i4>
      </vt:variant>
      <vt:variant>
        <vt:i4>0</vt:i4>
      </vt:variant>
      <vt:variant>
        <vt:i4>5</vt:i4>
      </vt:variant>
      <vt:variant>
        <vt:lpwstr>https://www.anna-dsb.com/optional-services/</vt:lpwstr>
      </vt:variant>
      <vt:variant>
        <vt:lpwstr/>
      </vt:variant>
      <vt:variant>
        <vt:i4>4784157</vt:i4>
      </vt:variant>
      <vt:variant>
        <vt:i4>234</vt:i4>
      </vt:variant>
      <vt:variant>
        <vt:i4>0</vt:i4>
      </vt:variant>
      <vt:variant>
        <vt:i4>5</vt:i4>
      </vt:variant>
      <vt:variant>
        <vt:lpwstr>https://www.anna-dsb.com/download/dsb-upi-fee-model-final-report/</vt:lpwstr>
      </vt:variant>
      <vt:variant>
        <vt:lpwstr/>
      </vt:variant>
      <vt:variant>
        <vt:i4>2424876</vt:i4>
      </vt:variant>
      <vt:variant>
        <vt:i4>231</vt:i4>
      </vt:variant>
      <vt:variant>
        <vt:i4>0</vt:i4>
      </vt:variant>
      <vt:variant>
        <vt:i4>5</vt:i4>
      </vt:variant>
      <vt:variant>
        <vt:lpwstr>http://www.anna-web.org/dsb-product-committee/</vt:lpwstr>
      </vt:variant>
      <vt:variant>
        <vt:lpwstr/>
      </vt:variant>
      <vt:variant>
        <vt:i4>5439503</vt:i4>
      </vt:variant>
      <vt:variant>
        <vt:i4>228</vt:i4>
      </vt:variant>
      <vt:variant>
        <vt:i4>0</vt:i4>
      </vt:variant>
      <vt:variant>
        <vt:i4>5</vt:i4>
      </vt:variant>
      <vt:variant>
        <vt:lpwstr>https://www.anna-dsb.com/upi/</vt:lpwstr>
      </vt:variant>
      <vt:variant>
        <vt:lpwstr/>
      </vt:variant>
      <vt:variant>
        <vt:i4>524381</vt:i4>
      </vt:variant>
      <vt:variant>
        <vt:i4>225</vt:i4>
      </vt:variant>
      <vt:variant>
        <vt:i4>0</vt:i4>
      </vt:variant>
      <vt:variant>
        <vt:i4>5</vt:i4>
      </vt:variant>
      <vt:variant>
        <vt:lpwstr>https://www.anna-dsb.com/upi-implementation-timeline/</vt:lpwstr>
      </vt:variant>
      <vt:variant>
        <vt:lpwstr/>
      </vt:variant>
      <vt:variant>
        <vt:i4>1835033</vt:i4>
      </vt:variant>
      <vt:variant>
        <vt:i4>222</vt:i4>
      </vt:variant>
      <vt:variant>
        <vt:i4>0</vt:i4>
      </vt:variant>
      <vt:variant>
        <vt:i4>5</vt:i4>
      </vt:variant>
      <vt:variant>
        <vt:lpwstr>https://www.anna-dsb.com/upi-legal-terms-and-conditions-consultation/</vt:lpwstr>
      </vt:variant>
      <vt:variant>
        <vt:lpwstr/>
      </vt:variant>
      <vt:variant>
        <vt:i4>3539066</vt:i4>
      </vt:variant>
      <vt:variant>
        <vt:i4>213</vt:i4>
      </vt:variant>
      <vt:variant>
        <vt:i4>0</vt:i4>
      </vt:variant>
      <vt:variant>
        <vt:i4>5</vt:i4>
      </vt:variant>
      <vt:variant>
        <vt:lpwstr>https://www.anna-dsb.com/knowledge-centre/?wpdmc=tac-sc-minutes</vt:lpwstr>
      </vt:variant>
      <vt:variant>
        <vt:lpwstr/>
      </vt:variant>
      <vt:variant>
        <vt:i4>3670134</vt:i4>
      </vt:variant>
      <vt:variant>
        <vt:i4>210</vt:i4>
      </vt:variant>
      <vt:variant>
        <vt:i4>0</vt:i4>
      </vt:variant>
      <vt:variant>
        <vt:i4>5</vt:i4>
      </vt:variant>
      <vt:variant>
        <vt:lpwstr>https://prod.anna-dsb.com/</vt:lpwstr>
      </vt:variant>
      <vt:variant>
        <vt:lpwstr/>
      </vt:variant>
      <vt:variant>
        <vt:i4>3670134</vt:i4>
      </vt:variant>
      <vt:variant>
        <vt:i4>207</vt:i4>
      </vt:variant>
      <vt:variant>
        <vt:i4>0</vt:i4>
      </vt:variant>
      <vt:variant>
        <vt:i4>5</vt:i4>
      </vt:variant>
      <vt:variant>
        <vt:lpwstr>https://prod.anna-dsb.com/</vt:lpwstr>
      </vt:variant>
      <vt:variant>
        <vt:lpwstr/>
      </vt:variant>
      <vt:variant>
        <vt:i4>3670134</vt:i4>
      </vt:variant>
      <vt:variant>
        <vt:i4>204</vt:i4>
      </vt:variant>
      <vt:variant>
        <vt:i4>0</vt:i4>
      </vt:variant>
      <vt:variant>
        <vt:i4>5</vt:i4>
      </vt:variant>
      <vt:variant>
        <vt:lpwstr>https://prod.anna-dsb.com/</vt:lpwstr>
      </vt:variant>
      <vt:variant>
        <vt:lpwstr/>
      </vt:variant>
      <vt:variant>
        <vt:i4>6553653</vt:i4>
      </vt:variant>
      <vt:variant>
        <vt:i4>192</vt:i4>
      </vt:variant>
      <vt:variant>
        <vt:i4>0</vt:i4>
      </vt:variant>
      <vt:variant>
        <vt:i4>5</vt:i4>
      </vt:variant>
      <vt:variant>
        <vt:lpwstr>https://www.iso.org/standard/78829.html</vt:lpwstr>
      </vt:variant>
      <vt:variant>
        <vt:lpwstr/>
      </vt:variant>
      <vt:variant>
        <vt:i4>196632</vt:i4>
      </vt:variant>
      <vt:variant>
        <vt:i4>189</vt:i4>
      </vt:variant>
      <vt:variant>
        <vt:i4>0</vt:i4>
      </vt:variant>
      <vt:variant>
        <vt:i4>5</vt:i4>
      </vt:variant>
      <vt:variant>
        <vt:lpwstr>https://www.iso20022.org/</vt:lpwstr>
      </vt:variant>
      <vt:variant>
        <vt:lpwstr/>
      </vt:variant>
      <vt:variant>
        <vt:i4>7209016</vt:i4>
      </vt:variant>
      <vt:variant>
        <vt:i4>186</vt:i4>
      </vt:variant>
      <vt:variant>
        <vt:i4>0</vt:i4>
      </vt:variant>
      <vt:variant>
        <vt:i4>5</vt:i4>
      </vt:variant>
      <vt:variant>
        <vt:lpwstr>https://www.iso.org/standard/77308.html</vt:lpwstr>
      </vt:variant>
      <vt:variant>
        <vt:lpwstr/>
      </vt:variant>
      <vt:variant>
        <vt:i4>6881343</vt:i4>
      </vt:variant>
      <vt:variant>
        <vt:i4>183</vt:i4>
      </vt:variant>
      <vt:variant>
        <vt:i4>0</vt:i4>
      </vt:variant>
      <vt:variant>
        <vt:i4>5</vt:i4>
      </vt:variant>
      <vt:variant>
        <vt:lpwstr>https://www.iso.org/standard/80506.html</vt:lpwstr>
      </vt:variant>
      <vt:variant>
        <vt:lpwstr/>
      </vt:variant>
      <vt:variant>
        <vt:i4>3735552</vt:i4>
      </vt:variant>
      <vt:variant>
        <vt:i4>180</vt:i4>
      </vt:variant>
      <vt:variant>
        <vt:i4>0</vt:i4>
      </vt:variant>
      <vt:variant>
        <vt:i4>5</vt:i4>
      </vt:variant>
      <vt:variant>
        <vt:lpwstr>mailto:otc.data@anna-dsb.com</vt:lpwstr>
      </vt:variant>
      <vt:variant>
        <vt:lpwstr/>
      </vt:variant>
      <vt:variant>
        <vt:i4>5111900</vt:i4>
      </vt:variant>
      <vt:variant>
        <vt:i4>177</vt:i4>
      </vt:variant>
      <vt:variant>
        <vt:i4>0</vt:i4>
      </vt:variant>
      <vt:variant>
        <vt:i4>5</vt:i4>
      </vt:variant>
      <vt:variant>
        <vt:lpwstr>https://www.anna-dsb.com/subscribe-to-notifications/</vt:lpwstr>
      </vt:variant>
      <vt:variant>
        <vt:lpwstr/>
      </vt:variant>
      <vt:variant>
        <vt:i4>4980737</vt:i4>
      </vt:variant>
      <vt:variant>
        <vt:i4>174</vt:i4>
      </vt:variant>
      <vt:variant>
        <vt:i4>0</vt:i4>
      </vt:variant>
      <vt:variant>
        <vt:i4>5</vt:i4>
      </vt:variant>
      <vt:variant>
        <vt:lpwstr>https://www.fsb.org/2019/10/governance-arrangements-for-the-upi/</vt:lpwstr>
      </vt:variant>
      <vt:variant>
        <vt:lpwstr/>
      </vt:variant>
      <vt:variant>
        <vt:i4>5177354</vt:i4>
      </vt:variant>
      <vt:variant>
        <vt:i4>165</vt:i4>
      </vt:variant>
      <vt:variant>
        <vt:i4>0</vt:i4>
      </vt:variant>
      <vt:variant>
        <vt:i4>5</vt:i4>
      </vt:variant>
      <vt:variant>
        <vt:lpwstr>https://www.anna-dsb.com/download/roc-dsb-notifications-protocol/</vt:lpwstr>
      </vt:variant>
      <vt:variant>
        <vt:lpwstr/>
      </vt:variant>
      <vt:variant>
        <vt:i4>2228346</vt:i4>
      </vt:variant>
      <vt:variant>
        <vt:i4>162</vt:i4>
      </vt:variant>
      <vt:variant>
        <vt:i4>0</vt:i4>
      </vt:variant>
      <vt:variant>
        <vt:i4>5</vt:i4>
      </vt:variant>
      <vt:variant>
        <vt:lpwstr>https://www.anna-dsb.com/download/roc-dsb-mou/</vt:lpwstr>
      </vt:variant>
      <vt:variant>
        <vt:lpwstr/>
      </vt:variant>
      <vt:variant>
        <vt:i4>7667810</vt:i4>
      </vt:variant>
      <vt:variant>
        <vt:i4>159</vt:i4>
      </vt:variant>
      <vt:variant>
        <vt:i4>0</vt:i4>
      </vt:variant>
      <vt:variant>
        <vt:i4>5</vt:i4>
      </vt:variant>
      <vt:variant>
        <vt:lpwstr>https://www.fsb.org/wp-content/uploads/P250920.pdf</vt:lpwstr>
      </vt:variant>
      <vt:variant>
        <vt:lpwstr/>
      </vt:variant>
      <vt:variant>
        <vt:i4>5242920</vt:i4>
      </vt:variant>
      <vt:variant>
        <vt:i4>156</vt:i4>
      </vt:variant>
      <vt:variant>
        <vt:i4>0</vt:i4>
      </vt:variant>
      <vt:variant>
        <vt:i4>5</vt:i4>
      </vt:variant>
      <vt:variant>
        <vt:lpwstr>https://www.leiroc.org/publications/gls/roc_20201001-2.pdf</vt:lpwstr>
      </vt:variant>
      <vt:variant>
        <vt:lpwstr/>
      </vt:variant>
      <vt:variant>
        <vt:i4>2555907</vt:i4>
      </vt:variant>
      <vt:variant>
        <vt:i4>153</vt:i4>
      </vt:variant>
      <vt:variant>
        <vt:i4>0</vt:i4>
      </vt:variant>
      <vt:variant>
        <vt:i4>5</vt:i4>
      </vt:variant>
      <vt:variant>
        <vt:lpwstr>https://www.fsb.org/wp-content/uploads/r_140919.pdf</vt:lpwstr>
      </vt:variant>
      <vt:variant>
        <vt:lpwstr/>
      </vt:variant>
      <vt:variant>
        <vt:i4>1310777</vt:i4>
      </vt:variant>
      <vt:variant>
        <vt:i4>146</vt:i4>
      </vt:variant>
      <vt:variant>
        <vt:i4>0</vt:i4>
      </vt:variant>
      <vt:variant>
        <vt:i4>5</vt:i4>
      </vt:variant>
      <vt:variant>
        <vt:lpwstr/>
      </vt:variant>
      <vt:variant>
        <vt:lpwstr>_Toc86672153</vt:lpwstr>
      </vt:variant>
      <vt:variant>
        <vt:i4>1376313</vt:i4>
      </vt:variant>
      <vt:variant>
        <vt:i4>140</vt:i4>
      </vt:variant>
      <vt:variant>
        <vt:i4>0</vt:i4>
      </vt:variant>
      <vt:variant>
        <vt:i4>5</vt:i4>
      </vt:variant>
      <vt:variant>
        <vt:lpwstr/>
      </vt:variant>
      <vt:variant>
        <vt:lpwstr>_Toc86672152</vt:lpwstr>
      </vt:variant>
      <vt:variant>
        <vt:i4>1441849</vt:i4>
      </vt:variant>
      <vt:variant>
        <vt:i4>134</vt:i4>
      </vt:variant>
      <vt:variant>
        <vt:i4>0</vt:i4>
      </vt:variant>
      <vt:variant>
        <vt:i4>5</vt:i4>
      </vt:variant>
      <vt:variant>
        <vt:lpwstr/>
      </vt:variant>
      <vt:variant>
        <vt:lpwstr>_Toc86672151</vt:lpwstr>
      </vt:variant>
      <vt:variant>
        <vt:i4>1507385</vt:i4>
      </vt:variant>
      <vt:variant>
        <vt:i4>128</vt:i4>
      </vt:variant>
      <vt:variant>
        <vt:i4>0</vt:i4>
      </vt:variant>
      <vt:variant>
        <vt:i4>5</vt:i4>
      </vt:variant>
      <vt:variant>
        <vt:lpwstr/>
      </vt:variant>
      <vt:variant>
        <vt:lpwstr>_Toc86672150</vt:lpwstr>
      </vt:variant>
      <vt:variant>
        <vt:i4>1966136</vt:i4>
      </vt:variant>
      <vt:variant>
        <vt:i4>122</vt:i4>
      </vt:variant>
      <vt:variant>
        <vt:i4>0</vt:i4>
      </vt:variant>
      <vt:variant>
        <vt:i4>5</vt:i4>
      </vt:variant>
      <vt:variant>
        <vt:lpwstr/>
      </vt:variant>
      <vt:variant>
        <vt:lpwstr>_Toc86672149</vt:lpwstr>
      </vt:variant>
      <vt:variant>
        <vt:i4>2031672</vt:i4>
      </vt:variant>
      <vt:variant>
        <vt:i4>116</vt:i4>
      </vt:variant>
      <vt:variant>
        <vt:i4>0</vt:i4>
      </vt:variant>
      <vt:variant>
        <vt:i4>5</vt:i4>
      </vt:variant>
      <vt:variant>
        <vt:lpwstr/>
      </vt:variant>
      <vt:variant>
        <vt:lpwstr>_Toc86672148</vt:lpwstr>
      </vt:variant>
      <vt:variant>
        <vt:i4>1048632</vt:i4>
      </vt:variant>
      <vt:variant>
        <vt:i4>110</vt:i4>
      </vt:variant>
      <vt:variant>
        <vt:i4>0</vt:i4>
      </vt:variant>
      <vt:variant>
        <vt:i4>5</vt:i4>
      </vt:variant>
      <vt:variant>
        <vt:lpwstr/>
      </vt:variant>
      <vt:variant>
        <vt:lpwstr>_Toc86672147</vt:lpwstr>
      </vt:variant>
      <vt:variant>
        <vt:i4>1114168</vt:i4>
      </vt:variant>
      <vt:variant>
        <vt:i4>104</vt:i4>
      </vt:variant>
      <vt:variant>
        <vt:i4>0</vt:i4>
      </vt:variant>
      <vt:variant>
        <vt:i4>5</vt:i4>
      </vt:variant>
      <vt:variant>
        <vt:lpwstr/>
      </vt:variant>
      <vt:variant>
        <vt:lpwstr>_Toc86672146</vt:lpwstr>
      </vt:variant>
      <vt:variant>
        <vt:i4>1179704</vt:i4>
      </vt:variant>
      <vt:variant>
        <vt:i4>98</vt:i4>
      </vt:variant>
      <vt:variant>
        <vt:i4>0</vt:i4>
      </vt:variant>
      <vt:variant>
        <vt:i4>5</vt:i4>
      </vt:variant>
      <vt:variant>
        <vt:lpwstr/>
      </vt:variant>
      <vt:variant>
        <vt:lpwstr>_Toc86672145</vt:lpwstr>
      </vt:variant>
      <vt:variant>
        <vt:i4>1245240</vt:i4>
      </vt:variant>
      <vt:variant>
        <vt:i4>92</vt:i4>
      </vt:variant>
      <vt:variant>
        <vt:i4>0</vt:i4>
      </vt:variant>
      <vt:variant>
        <vt:i4>5</vt:i4>
      </vt:variant>
      <vt:variant>
        <vt:lpwstr/>
      </vt:variant>
      <vt:variant>
        <vt:lpwstr>_Toc86672144</vt:lpwstr>
      </vt:variant>
      <vt:variant>
        <vt:i4>1310776</vt:i4>
      </vt:variant>
      <vt:variant>
        <vt:i4>86</vt:i4>
      </vt:variant>
      <vt:variant>
        <vt:i4>0</vt:i4>
      </vt:variant>
      <vt:variant>
        <vt:i4>5</vt:i4>
      </vt:variant>
      <vt:variant>
        <vt:lpwstr/>
      </vt:variant>
      <vt:variant>
        <vt:lpwstr>_Toc86672143</vt:lpwstr>
      </vt:variant>
      <vt:variant>
        <vt:i4>1376312</vt:i4>
      </vt:variant>
      <vt:variant>
        <vt:i4>80</vt:i4>
      </vt:variant>
      <vt:variant>
        <vt:i4>0</vt:i4>
      </vt:variant>
      <vt:variant>
        <vt:i4>5</vt:i4>
      </vt:variant>
      <vt:variant>
        <vt:lpwstr/>
      </vt:variant>
      <vt:variant>
        <vt:lpwstr>_Toc86672142</vt:lpwstr>
      </vt:variant>
      <vt:variant>
        <vt:i4>1441848</vt:i4>
      </vt:variant>
      <vt:variant>
        <vt:i4>74</vt:i4>
      </vt:variant>
      <vt:variant>
        <vt:i4>0</vt:i4>
      </vt:variant>
      <vt:variant>
        <vt:i4>5</vt:i4>
      </vt:variant>
      <vt:variant>
        <vt:lpwstr/>
      </vt:variant>
      <vt:variant>
        <vt:lpwstr>_Toc86672141</vt:lpwstr>
      </vt:variant>
      <vt:variant>
        <vt:i4>1507384</vt:i4>
      </vt:variant>
      <vt:variant>
        <vt:i4>68</vt:i4>
      </vt:variant>
      <vt:variant>
        <vt:i4>0</vt:i4>
      </vt:variant>
      <vt:variant>
        <vt:i4>5</vt:i4>
      </vt:variant>
      <vt:variant>
        <vt:lpwstr/>
      </vt:variant>
      <vt:variant>
        <vt:lpwstr>_Toc86672140</vt:lpwstr>
      </vt:variant>
      <vt:variant>
        <vt:i4>1966143</vt:i4>
      </vt:variant>
      <vt:variant>
        <vt:i4>62</vt:i4>
      </vt:variant>
      <vt:variant>
        <vt:i4>0</vt:i4>
      </vt:variant>
      <vt:variant>
        <vt:i4>5</vt:i4>
      </vt:variant>
      <vt:variant>
        <vt:lpwstr/>
      </vt:variant>
      <vt:variant>
        <vt:lpwstr>_Toc86672139</vt:lpwstr>
      </vt:variant>
      <vt:variant>
        <vt:i4>2031679</vt:i4>
      </vt:variant>
      <vt:variant>
        <vt:i4>56</vt:i4>
      </vt:variant>
      <vt:variant>
        <vt:i4>0</vt:i4>
      </vt:variant>
      <vt:variant>
        <vt:i4>5</vt:i4>
      </vt:variant>
      <vt:variant>
        <vt:lpwstr/>
      </vt:variant>
      <vt:variant>
        <vt:lpwstr>_Toc86672138</vt:lpwstr>
      </vt:variant>
      <vt:variant>
        <vt:i4>1048639</vt:i4>
      </vt:variant>
      <vt:variant>
        <vt:i4>50</vt:i4>
      </vt:variant>
      <vt:variant>
        <vt:i4>0</vt:i4>
      </vt:variant>
      <vt:variant>
        <vt:i4>5</vt:i4>
      </vt:variant>
      <vt:variant>
        <vt:lpwstr/>
      </vt:variant>
      <vt:variant>
        <vt:lpwstr>_Toc86672137</vt:lpwstr>
      </vt:variant>
      <vt:variant>
        <vt:i4>1114175</vt:i4>
      </vt:variant>
      <vt:variant>
        <vt:i4>44</vt:i4>
      </vt:variant>
      <vt:variant>
        <vt:i4>0</vt:i4>
      </vt:variant>
      <vt:variant>
        <vt:i4>5</vt:i4>
      </vt:variant>
      <vt:variant>
        <vt:lpwstr/>
      </vt:variant>
      <vt:variant>
        <vt:lpwstr>_Toc86672136</vt:lpwstr>
      </vt:variant>
      <vt:variant>
        <vt:i4>1179711</vt:i4>
      </vt:variant>
      <vt:variant>
        <vt:i4>38</vt:i4>
      </vt:variant>
      <vt:variant>
        <vt:i4>0</vt:i4>
      </vt:variant>
      <vt:variant>
        <vt:i4>5</vt:i4>
      </vt:variant>
      <vt:variant>
        <vt:lpwstr/>
      </vt:variant>
      <vt:variant>
        <vt:lpwstr>_Toc86672135</vt:lpwstr>
      </vt:variant>
      <vt:variant>
        <vt:i4>1245247</vt:i4>
      </vt:variant>
      <vt:variant>
        <vt:i4>32</vt:i4>
      </vt:variant>
      <vt:variant>
        <vt:i4>0</vt:i4>
      </vt:variant>
      <vt:variant>
        <vt:i4>5</vt:i4>
      </vt:variant>
      <vt:variant>
        <vt:lpwstr/>
      </vt:variant>
      <vt:variant>
        <vt:lpwstr>_Toc86672134</vt:lpwstr>
      </vt:variant>
      <vt:variant>
        <vt:i4>1310783</vt:i4>
      </vt:variant>
      <vt:variant>
        <vt:i4>26</vt:i4>
      </vt:variant>
      <vt:variant>
        <vt:i4>0</vt:i4>
      </vt:variant>
      <vt:variant>
        <vt:i4>5</vt:i4>
      </vt:variant>
      <vt:variant>
        <vt:lpwstr/>
      </vt:variant>
      <vt:variant>
        <vt:lpwstr>_Toc86672133</vt:lpwstr>
      </vt:variant>
      <vt:variant>
        <vt:i4>1376319</vt:i4>
      </vt:variant>
      <vt:variant>
        <vt:i4>20</vt:i4>
      </vt:variant>
      <vt:variant>
        <vt:i4>0</vt:i4>
      </vt:variant>
      <vt:variant>
        <vt:i4>5</vt:i4>
      </vt:variant>
      <vt:variant>
        <vt:lpwstr/>
      </vt:variant>
      <vt:variant>
        <vt:lpwstr>_Toc86672132</vt:lpwstr>
      </vt:variant>
      <vt:variant>
        <vt:i4>1441855</vt:i4>
      </vt:variant>
      <vt:variant>
        <vt:i4>14</vt:i4>
      </vt:variant>
      <vt:variant>
        <vt:i4>0</vt:i4>
      </vt:variant>
      <vt:variant>
        <vt:i4>5</vt:i4>
      </vt:variant>
      <vt:variant>
        <vt:lpwstr/>
      </vt:variant>
      <vt:variant>
        <vt:lpwstr>_Toc86672131</vt:lpwstr>
      </vt:variant>
      <vt:variant>
        <vt:i4>1507391</vt:i4>
      </vt:variant>
      <vt:variant>
        <vt:i4>8</vt:i4>
      </vt:variant>
      <vt:variant>
        <vt:i4>0</vt:i4>
      </vt:variant>
      <vt:variant>
        <vt:i4>5</vt:i4>
      </vt:variant>
      <vt:variant>
        <vt:lpwstr/>
      </vt:variant>
      <vt:variant>
        <vt:lpwstr>_Toc86672130</vt:lpwstr>
      </vt:variant>
      <vt:variant>
        <vt:i4>1966142</vt:i4>
      </vt:variant>
      <vt:variant>
        <vt:i4>2</vt:i4>
      </vt:variant>
      <vt:variant>
        <vt:i4>0</vt:i4>
      </vt:variant>
      <vt:variant>
        <vt:i4>5</vt:i4>
      </vt:variant>
      <vt:variant>
        <vt:lpwstr/>
      </vt:variant>
      <vt:variant>
        <vt:lpwstr>_Toc86672129</vt:lpwstr>
      </vt:variant>
      <vt:variant>
        <vt:i4>3080252</vt:i4>
      </vt:variant>
      <vt:variant>
        <vt:i4>117</vt:i4>
      </vt:variant>
      <vt:variant>
        <vt:i4>0</vt:i4>
      </vt:variant>
      <vt:variant>
        <vt:i4>5</vt:i4>
      </vt:variant>
      <vt:variant>
        <vt:lpwstr>https://anna-dsb-events.webex.com/anna-dsb-events/onstage/g.php?MTID=e9f9f75c9ca5cc571460cd89d0e08c35b</vt:lpwstr>
      </vt:variant>
      <vt:variant>
        <vt:lpwstr/>
      </vt:variant>
      <vt:variant>
        <vt:i4>3538949</vt:i4>
      </vt:variant>
      <vt:variant>
        <vt:i4>114</vt:i4>
      </vt:variant>
      <vt:variant>
        <vt:i4>0</vt:i4>
      </vt:variant>
      <vt:variant>
        <vt:i4>5</vt:i4>
      </vt:variant>
      <vt:variant>
        <vt:lpwstr>https://anna-dsb-events.webex.com/webappng/sites/anna-dsb-events/meeting/register/ee87295c47214e4aa44eaf9ed8116fc8?ticket=4832534b000000052b84e39a0be43a15170e0d0cfcad535d9cc15f2842c8beccf027cff832d454d7&amp;timestamp=1635776647870&amp;locale=en_US</vt:lpwstr>
      </vt:variant>
      <vt:variant>
        <vt:lpwstr/>
      </vt:variant>
      <vt:variant>
        <vt:i4>5439519</vt:i4>
      </vt:variant>
      <vt:variant>
        <vt:i4>111</vt:i4>
      </vt:variant>
      <vt:variant>
        <vt:i4>0</vt:i4>
      </vt:variant>
      <vt:variant>
        <vt:i4>5</vt:i4>
      </vt:variant>
      <vt:variant>
        <vt:lpwstr>https://www.anna-dsb.com/fee-model-variables/</vt:lpwstr>
      </vt:variant>
      <vt:variant>
        <vt:lpwstr/>
      </vt:variant>
      <vt:variant>
        <vt:i4>131072</vt:i4>
      </vt:variant>
      <vt:variant>
        <vt:i4>105</vt:i4>
      </vt:variant>
      <vt:variant>
        <vt:i4>0</vt:i4>
      </vt:variant>
      <vt:variant>
        <vt:i4>5</vt:i4>
      </vt:variant>
      <vt:variant>
        <vt:lpwstr>https://www.anna-dsb.com/download/dsb-2022-ua-policies-final/</vt:lpwstr>
      </vt:variant>
      <vt:variant>
        <vt:lpwstr/>
      </vt:variant>
      <vt:variant>
        <vt:i4>7602281</vt:i4>
      </vt:variant>
      <vt:variant>
        <vt:i4>102</vt:i4>
      </vt:variant>
      <vt:variant>
        <vt:i4>0</vt:i4>
      </vt:variant>
      <vt:variant>
        <vt:i4>5</vt:i4>
      </vt:variant>
      <vt:variant>
        <vt:lpwstr>https://www.anna-dsb.com/optional-services/</vt:lpwstr>
      </vt:variant>
      <vt:variant>
        <vt:lpwstr/>
      </vt:variant>
      <vt:variant>
        <vt:i4>4784157</vt:i4>
      </vt:variant>
      <vt:variant>
        <vt:i4>99</vt:i4>
      </vt:variant>
      <vt:variant>
        <vt:i4>0</vt:i4>
      </vt:variant>
      <vt:variant>
        <vt:i4>5</vt:i4>
      </vt:variant>
      <vt:variant>
        <vt:lpwstr>https://www.anna-dsb.com/download/dsb-upi-fee-model-final-report/</vt:lpwstr>
      </vt:variant>
      <vt:variant>
        <vt:lpwstr/>
      </vt:variant>
      <vt:variant>
        <vt:i4>5439503</vt:i4>
      </vt:variant>
      <vt:variant>
        <vt:i4>96</vt:i4>
      </vt:variant>
      <vt:variant>
        <vt:i4>0</vt:i4>
      </vt:variant>
      <vt:variant>
        <vt:i4>5</vt:i4>
      </vt:variant>
      <vt:variant>
        <vt:lpwstr>https://www.anna-dsb.com/upi/</vt:lpwstr>
      </vt:variant>
      <vt:variant>
        <vt:lpwstr/>
      </vt:variant>
      <vt:variant>
        <vt:i4>524381</vt:i4>
      </vt:variant>
      <vt:variant>
        <vt:i4>93</vt:i4>
      </vt:variant>
      <vt:variant>
        <vt:i4>0</vt:i4>
      </vt:variant>
      <vt:variant>
        <vt:i4>5</vt:i4>
      </vt:variant>
      <vt:variant>
        <vt:lpwstr>https://www.anna-dsb.com/upi-implementation-timeline/</vt:lpwstr>
      </vt:variant>
      <vt:variant>
        <vt:lpwstr/>
      </vt:variant>
      <vt:variant>
        <vt:i4>3801200</vt:i4>
      </vt:variant>
      <vt:variant>
        <vt:i4>90</vt:i4>
      </vt:variant>
      <vt:variant>
        <vt:i4>0</vt:i4>
      </vt:variant>
      <vt:variant>
        <vt:i4>5</vt:i4>
      </vt:variant>
      <vt:variant>
        <vt:lpwstr>https://www.anna-dsb.com/download/2021-industry-consultation-paper/</vt:lpwstr>
      </vt:variant>
      <vt:variant>
        <vt:lpwstr/>
      </vt:variant>
      <vt:variant>
        <vt:i4>6094852</vt:i4>
      </vt:variant>
      <vt:variant>
        <vt:i4>87</vt:i4>
      </vt:variant>
      <vt:variant>
        <vt:i4>0</vt:i4>
      </vt:variant>
      <vt:variant>
        <vt:i4>5</vt:i4>
      </vt:variant>
      <vt:variant>
        <vt:lpwstr>https://www.anna-dsb.com/fees-rules-2021/</vt:lpwstr>
      </vt:variant>
      <vt:variant>
        <vt:lpwstr/>
      </vt:variant>
      <vt:variant>
        <vt:i4>4259879</vt:i4>
      </vt:variant>
      <vt:variant>
        <vt:i4>84</vt:i4>
      </vt:variant>
      <vt:variant>
        <vt:i4>0</vt:i4>
      </vt:variant>
      <vt:variant>
        <vt:i4>5</vt:i4>
      </vt:variant>
      <vt:variant>
        <vt:lpwstr>https://www.anna-dsb.com/download/dsb-charges-policy_v5_2021_final/</vt:lpwstr>
      </vt:variant>
      <vt:variant>
        <vt:lpwstr/>
      </vt:variant>
      <vt:variant>
        <vt:i4>4980737</vt:i4>
      </vt:variant>
      <vt:variant>
        <vt:i4>81</vt:i4>
      </vt:variant>
      <vt:variant>
        <vt:i4>0</vt:i4>
      </vt:variant>
      <vt:variant>
        <vt:i4>5</vt:i4>
      </vt:variant>
      <vt:variant>
        <vt:lpwstr>https://www.fsb.org/2019/10/governance-arrangements-for-the-upi/</vt:lpwstr>
      </vt:variant>
      <vt:variant>
        <vt:lpwstr/>
      </vt:variant>
      <vt:variant>
        <vt:i4>4063340</vt:i4>
      </vt:variant>
      <vt:variant>
        <vt:i4>72</vt:i4>
      </vt:variant>
      <vt:variant>
        <vt:i4>0</vt:i4>
      </vt:variant>
      <vt:variant>
        <vt:i4>5</vt:i4>
      </vt:variant>
      <vt:variant>
        <vt:lpwstr>https://www.leiroc.org/about/membersandobservers/index.htm</vt:lpwstr>
      </vt:variant>
      <vt:variant>
        <vt:lpwstr/>
      </vt:variant>
      <vt:variant>
        <vt:i4>8192035</vt:i4>
      </vt:variant>
      <vt:variant>
        <vt:i4>69</vt:i4>
      </vt:variant>
      <vt:variant>
        <vt:i4>0</vt:i4>
      </vt:variant>
      <vt:variant>
        <vt:i4>5</vt:i4>
      </vt:variant>
      <vt:variant>
        <vt:lpwstr>https://www.anna-dsb.com/technology-advisory-committee/</vt:lpwstr>
      </vt:variant>
      <vt:variant>
        <vt:lpwstr/>
      </vt:variant>
      <vt:variant>
        <vt:i4>2555956</vt:i4>
      </vt:variant>
      <vt:variant>
        <vt:i4>66</vt:i4>
      </vt:variant>
      <vt:variant>
        <vt:i4>0</vt:i4>
      </vt:variant>
      <vt:variant>
        <vt:i4>5</vt:i4>
      </vt:variant>
      <vt:variant>
        <vt:lpwstr>https://www.anna-dsb.com/product-committee/</vt:lpwstr>
      </vt:variant>
      <vt:variant>
        <vt:lpwstr/>
      </vt:variant>
      <vt:variant>
        <vt:i4>6750266</vt:i4>
      </vt:variant>
      <vt:variant>
        <vt:i4>63</vt:i4>
      </vt:variant>
      <vt:variant>
        <vt:i4>0</vt:i4>
      </vt:variant>
      <vt:variant>
        <vt:i4>5</vt:i4>
      </vt:variant>
      <vt:variant>
        <vt:lpwstr>https://committee.iso.org/sites/tc68/home/news/content-left-area/news-and-updates/unique-product-identifier-upi-ba.html</vt:lpwstr>
      </vt:variant>
      <vt:variant>
        <vt:lpwstr/>
      </vt:variant>
      <vt:variant>
        <vt:i4>5439528</vt:i4>
      </vt:variant>
      <vt:variant>
        <vt:i4>60</vt:i4>
      </vt:variant>
      <vt:variant>
        <vt:i4>0</vt:i4>
      </vt:variant>
      <vt:variant>
        <vt:i4>5</vt:i4>
      </vt:variant>
      <vt:variant>
        <vt:lpwstr>https://www.leiroc.org/publications/gls/roc_20201001-1.pdf</vt:lpwstr>
      </vt:variant>
      <vt:variant>
        <vt:lpwstr/>
      </vt:variant>
      <vt:variant>
        <vt:i4>3604515</vt:i4>
      </vt:variant>
      <vt:variant>
        <vt:i4>57</vt:i4>
      </vt:variant>
      <vt:variant>
        <vt:i4>0</vt:i4>
      </vt:variant>
      <vt:variant>
        <vt:i4>5</vt:i4>
      </vt:variant>
      <vt:variant>
        <vt:lpwstr>https://www.fsb.org/2020/09/lei-roc-to-become-governance-body-for-otc-derivatives-identifiers/</vt:lpwstr>
      </vt:variant>
      <vt:variant>
        <vt:lpwstr/>
      </vt:variant>
      <vt:variant>
        <vt:i4>5242920</vt:i4>
      </vt:variant>
      <vt:variant>
        <vt:i4>54</vt:i4>
      </vt:variant>
      <vt:variant>
        <vt:i4>0</vt:i4>
      </vt:variant>
      <vt:variant>
        <vt:i4>5</vt:i4>
      </vt:variant>
      <vt:variant>
        <vt:lpwstr>https://www.leiroc.org/publications/gls/roc_20201001-2.pdf</vt:lpwstr>
      </vt:variant>
      <vt:variant>
        <vt:lpwstr/>
      </vt:variant>
      <vt:variant>
        <vt:i4>4980737</vt:i4>
      </vt:variant>
      <vt:variant>
        <vt:i4>51</vt:i4>
      </vt:variant>
      <vt:variant>
        <vt:i4>0</vt:i4>
      </vt:variant>
      <vt:variant>
        <vt:i4>5</vt:i4>
      </vt:variant>
      <vt:variant>
        <vt:lpwstr>https://www.fsb.org/2019/10/governance-arrangements-for-the-upi/</vt:lpwstr>
      </vt:variant>
      <vt:variant>
        <vt:lpwstr/>
      </vt:variant>
      <vt:variant>
        <vt:i4>6553720</vt:i4>
      </vt:variant>
      <vt:variant>
        <vt:i4>48</vt:i4>
      </vt:variant>
      <vt:variant>
        <vt:i4>0</vt:i4>
      </vt:variant>
      <vt:variant>
        <vt:i4>5</vt:i4>
      </vt:variant>
      <vt:variant>
        <vt:lpwstr>https://www.bis.org/cpmi/publ/d175.pdf</vt:lpwstr>
      </vt:variant>
      <vt:variant>
        <vt:lpwstr/>
      </vt:variant>
      <vt:variant>
        <vt:i4>6881402</vt:i4>
      </vt:variant>
      <vt:variant>
        <vt:i4>45</vt:i4>
      </vt:variant>
      <vt:variant>
        <vt:i4>0</vt:i4>
      </vt:variant>
      <vt:variant>
        <vt:i4>5</vt:i4>
      </vt:variant>
      <vt:variant>
        <vt:lpwstr>https://www.bis.org/cpmi/publ/d158.pdf</vt:lpwstr>
      </vt:variant>
      <vt:variant>
        <vt:lpwstr/>
      </vt:variant>
      <vt:variant>
        <vt:i4>131086</vt:i4>
      </vt:variant>
      <vt:variant>
        <vt:i4>42</vt:i4>
      </vt:variant>
      <vt:variant>
        <vt:i4>0</vt:i4>
      </vt:variant>
      <vt:variant>
        <vt:i4>5</vt:i4>
      </vt:variant>
      <vt:variant>
        <vt:lpwstr>http://www.bis.org/cpmi/publ/d169.htm</vt:lpwstr>
      </vt:variant>
      <vt:variant>
        <vt:lpwstr/>
      </vt:variant>
      <vt:variant>
        <vt:i4>4063276</vt:i4>
      </vt:variant>
      <vt:variant>
        <vt:i4>39</vt:i4>
      </vt:variant>
      <vt:variant>
        <vt:i4>0</vt:i4>
      </vt:variant>
      <vt:variant>
        <vt:i4>5</vt:i4>
      </vt:variant>
      <vt:variant>
        <vt:lpwstr>https://www.gleif.org/</vt:lpwstr>
      </vt:variant>
      <vt:variant>
        <vt:lpwstr/>
      </vt:variant>
      <vt:variant>
        <vt:i4>6553653</vt:i4>
      </vt:variant>
      <vt:variant>
        <vt:i4>36</vt:i4>
      </vt:variant>
      <vt:variant>
        <vt:i4>0</vt:i4>
      </vt:variant>
      <vt:variant>
        <vt:i4>5</vt:i4>
      </vt:variant>
      <vt:variant>
        <vt:lpwstr>https://www.iso.org/standard/78829.html</vt:lpwstr>
      </vt:variant>
      <vt:variant>
        <vt:lpwstr/>
      </vt:variant>
      <vt:variant>
        <vt:i4>196632</vt:i4>
      </vt:variant>
      <vt:variant>
        <vt:i4>33</vt:i4>
      </vt:variant>
      <vt:variant>
        <vt:i4>0</vt:i4>
      </vt:variant>
      <vt:variant>
        <vt:i4>5</vt:i4>
      </vt:variant>
      <vt:variant>
        <vt:lpwstr>https://www.iso20022.org/</vt:lpwstr>
      </vt:variant>
      <vt:variant>
        <vt:lpwstr/>
      </vt:variant>
      <vt:variant>
        <vt:i4>7209016</vt:i4>
      </vt:variant>
      <vt:variant>
        <vt:i4>30</vt:i4>
      </vt:variant>
      <vt:variant>
        <vt:i4>0</vt:i4>
      </vt:variant>
      <vt:variant>
        <vt:i4>5</vt:i4>
      </vt:variant>
      <vt:variant>
        <vt:lpwstr>https://www.iso.org/standard/77308.html</vt:lpwstr>
      </vt:variant>
      <vt:variant>
        <vt:lpwstr/>
      </vt:variant>
      <vt:variant>
        <vt:i4>6881343</vt:i4>
      </vt:variant>
      <vt:variant>
        <vt:i4>27</vt:i4>
      </vt:variant>
      <vt:variant>
        <vt:i4>0</vt:i4>
      </vt:variant>
      <vt:variant>
        <vt:i4>5</vt:i4>
      </vt:variant>
      <vt:variant>
        <vt:lpwstr>https://www.iso.org/standard/80506.html</vt:lpwstr>
      </vt:variant>
      <vt:variant>
        <vt:lpwstr/>
      </vt:variant>
      <vt:variant>
        <vt:i4>5439503</vt:i4>
      </vt:variant>
      <vt:variant>
        <vt:i4>24</vt:i4>
      </vt:variant>
      <vt:variant>
        <vt:i4>0</vt:i4>
      </vt:variant>
      <vt:variant>
        <vt:i4>5</vt:i4>
      </vt:variant>
      <vt:variant>
        <vt:lpwstr>https://www.anna-dsb.com/upi/</vt:lpwstr>
      </vt:variant>
      <vt:variant>
        <vt:lpwstr/>
      </vt:variant>
      <vt:variant>
        <vt:i4>5111900</vt:i4>
      </vt:variant>
      <vt:variant>
        <vt:i4>21</vt:i4>
      </vt:variant>
      <vt:variant>
        <vt:i4>0</vt:i4>
      </vt:variant>
      <vt:variant>
        <vt:i4>5</vt:i4>
      </vt:variant>
      <vt:variant>
        <vt:lpwstr>https://www.anna-dsb.com/subscribe-to-notifications/</vt:lpwstr>
      </vt:variant>
      <vt:variant>
        <vt:lpwstr/>
      </vt:variant>
      <vt:variant>
        <vt:i4>917595</vt:i4>
      </vt:variant>
      <vt:variant>
        <vt:i4>15</vt:i4>
      </vt:variant>
      <vt:variant>
        <vt:i4>0</vt:i4>
      </vt:variant>
      <vt:variant>
        <vt:i4>5</vt:i4>
      </vt:variant>
      <vt:variant>
        <vt:lpwstr>https://www.anna-dsb.com/upi-fee-model-consultation-2021/</vt:lpwstr>
      </vt:variant>
      <vt:variant>
        <vt:lpwstr/>
      </vt:variant>
      <vt:variant>
        <vt:i4>5177354</vt:i4>
      </vt:variant>
      <vt:variant>
        <vt:i4>12</vt:i4>
      </vt:variant>
      <vt:variant>
        <vt:i4>0</vt:i4>
      </vt:variant>
      <vt:variant>
        <vt:i4>5</vt:i4>
      </vt:variant>
      <vt:variant>
        <vt:lpwstr>https://www.anna-dsb.com/download/roc-dsb-notifications-protocol/</vt:lpwstr>
      </vt:variant>
      <vt:variant>
        <vt:lpwstr/>
      </vt:variant>
      <vt:variant>
        <vt:i4>2228346</vt:i4>
      </vt:variant>
      <vt:variant>
        <vt:i4>9</vt:i4>
      </vt:variant>
      <vt:variant>
        <vt:i4>0</vt:i4>
      </vt:variant>
      <vt:variant>
        <vt:i4>5</vt:i4>
      </vt:variant>
      <vt:variant>
        <vt:lpwstr>https://www.anna-dsb.com/download/roc-dsb-mou/</vt:lpwstr>
      </vt:variant>
      <vt:variant>
        <vt:lpwstr/>
      </vt:variant>
      <vt:variant>
        <vt:i4>7667810</vt:i4>
      </vt:variant>
      <vt:variant>
        <vt:i4>6</vt:i4>
      </vt:variant>
      <vt:variant>
        <vt:i4>0</vt:i4>
      </vt:variant>
      <vt:variant>
        <vt:i4>5</vt:i4>
      </vt:variant>
      <vt:variant>
        <vt:lpwstr>https://www.fsb.org/wp-content/uploads/P250920.pdf</vt:lpwstr>
      </vt:variant>
      <vt:variant>
        <vt:lpwstr/>
      </vt:variant>
      <vt:variant>
        <vt:i4>5242920</vt:i4>
      </vt:variant>
      <vt:variant>
        <vt:i4>3</vt:i4>
      </vt:variant>
      <vt:variant>
        <vt:i4>0</vt:i4>
      </vt:variant>
      <vt:variant>
        <vt:i4>5</vt:i4>
      </vt:variant>
      <vt:variant>
        <vt:lpwstr>https://www.leiroc.org/publications/gls/roc_20201001-2.pdf</vt:lpwstr>
      </vt:variant>
      <vt:variant>
        <vt:lpwstr/>
      </vt:variant>
      <vt:variant>
        <vt:i4>983107</vt:i4>
      </vt:variant>
      <vt:variant>
        <vt:i4>0</vt:i4>
      </vt:variant>
      <vt:variant>
        <vt:i4>0</vt:i4>
      </vt:variant>
      <vt:variant>
        <vt:i4>5</vt:i4>
      </vt:variant>
      <vt:variant>
        <vt:lpwstr>https://www.fsb.org/2019/05/fsb-designates-dsb-as-unique-product-identifier-upi-service-provider/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2021-11-01T17:35:00Z</dcterms:created>
  <dcterms:modified xsi:type="dcterms:W3CDTF">2021-11-01T17:41:00Z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0x010100F94DD07BC474A342B1736545077809B2</vt:lpwstr>
  </property>
</Properties>
</file>